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601" w:type="dxa"/>
        <w:tblLook w:val="04A0"/>
      </w:tblPr>
      <w:tblGrid>
        <w:gridCol w:w="9498"/>
      </w:tblGrid>
      <w:tr w:rsidR="00A30292" w:rsidRPr="00A30292" w:rsidTr="004D2BFD">
        <w:trPr>
          <w:trHeight w:val="1080"/>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2"/>
              </w:rPr>
            </w:pPr>
            <w:r>
              <w:rPr>
                <w:rFonts w:ascii="宋体" w:eastAsia="宋体" w:hAnsi="宋体" w:cs="宋体"/>
                <w:noProof/>
                <w:color w:val="000000"/>
                <w:kern w:val="0"/>
                <w:sz w:val="22"/>
              </w:rPr>
              <w:drawing>
                <wp:anchor distT="0" distB="0" distL="114300" distR="114300" simplePos="0" relativeHeight="251658240" behindDoc="0" locked="0" layoutInCell="1" allowOverlap="1">
                  <wp:simplePos x="0" y="0"/>
                  <wp:positionH relativeFrom="column">
                    <wp:posOffset>6181725</wp:posOffset>
                  </wp:positionH>
                  <wp:positionV relativeFrom="paragraph">
                    <wp:posOffset>19050</wp:posOffset>
                  </wp:positionV>
                  <wp:extent cx="1333500" cy="390525"/>
                  <wp:effectExtent l="0" t="0" r="0" b="0"/>
                  <wp:wrapNone/>
                  <wp:docPr id="2" name="图片 1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图片 12" descr="返回首页.png"/>
                          <pic:cNvPicPr>
                            <a:picLocks noChangeAspect="1" noChangeArrowheads="1"/>
                          </pic:cNvPicPr>
                        </pic:nvPicPr>
                        <pic:blipFill>
                          <a:blip r:embed="rId7"/>
                          <a:srcRect/>
                          <a:stretch>
                            <a:fillRect/>
                          </a:stretch>
                        </pic:blipFill>
                        <pic:spPr bwMode="auto">
                          <a:xfrm>
                            <a:off x="0" y="0"/>
                            <a:ext cx="0" cy="9525"/>
                          </a:xfrm>
                          <a:prstGeom prst="rect">
                            <a:avLst/>
                          </a:prstGeom>
                          <a:noFill/>
                          <a:ln w="9525">
                            <a:noFill/>
                            <a:miter lim="800000"/>
                            <a:headEnd/>
                            <a:tailEnd/>
                          </a:ln>
                        </pic:spPr>
                      </pic:pic>
                    </a:graphicData>
                  </a:graphic>
                </wp:anchor>
              </w:drawing>
            </w:r>
          </w:p>
          <w:p w:rsidR="00A30292" w:rsidRPr="00A30292" w:rsidRDefault="00A30292" w:rsidP="00A30292">
            <w:pPr>
              <w:widowControl/>
              <w:jc w:val="left"/>
              <w:rPr>
                <w:rFonts w:ascii="宋体" w:eastAsia="宋体" w:hAnsi="宋体" w:cs="宋体"/>
                <w:color w:val="000000"/>
                <w:kern w:val="0"/>
                <w:sz w:val="52"/>
                <w:szCs w:val="52"/>
              </w:rPr>
            </w:pPr>
            <w:r w:rsidRPr="00A30292">
              <w:rPr>
                <w:rFonts w:ascii="宋体" w:eastAsia="宋体" w:hAnsi="宋体" w:cs="宋体" w:hint="eastAsia"/>
                <w:color w:val="000000"/>
                <w:kern w:val="0"/>
                <w:sz w:val="52"/>
                <w:szCs w:val="52"/>
              </w:rPr>
              <w:t xml:space="preserve">    </w:t>
            </w:r>
            <w:r w:rsidRPr="00A30292">
              <w:rPr>
                <w:rFonts w:ascii="宋体" w:eastAsia="宋体" w:hAnsi="宋体" w:cs="宋体" w:hint="eastAsia"/>
                <w:b/>
                <w:bCs/>
                <w:color w:val="FF0000"/>
                <w:kern w:val="0"/>
                <w:sz w:val="52"/>
                <w:szCs w:val="52"/>
              </w:rPr>
              <w:t>阿米巴经营模式构建实战训练营</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FF0000"/>
                <w:kern w:val="0"/>
                <w:sz w:val="24"/>
                <w:szCs w:val="24"/>
              </w:rPr>
            </w:pPr>
            <w:r w:rsidRPr="00A30292">
              <w:rPr>
                <w:rFonts w:ascii="宋体" w:eastAsia="宋体" w:hAnsi="宋体" w:cs="宋体" w:hint="eastAsia"/>
                <w:b/>
                <w:bCs/>
                <w:color w:val="FF0000"/>
                <w:kern w:val="0"/>
                <w:sz w:val="24"/>
                <w:szCs w:val="24"/>
              </w:rPr>
              <w:t>时·间·地·点：2016年4月15-16上海  4月22-23 深圳</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000000"/>
                <w:kern w:val="0"/>
                <w:sz w:val="24"/>
                <w:szCs w:val="24"/>
              </w:rPr>
            </w:pPr>
            <w:r w:rsidRPr="00A30292">
              <w:rPr>
                <w:rFonts w:ascii="宋体" w:eastAsia="宋体" w:hAnsi="宋体" w:cs="宋体" w:hint="eastAsia"/>
                <w:b/>
                <w:bCs/>
                <w:color w:val="993300"/>
                <w:kern w:val="0"/>
                <w:sz w:val="24"/>
                <w:szCs w:val="24"/>
              </w:rPr>
              <w:t>参·加·对·象：</w:t>
            </w:r>
            <w:r w:rsidRPr="00A30292">
              <w:rPr>
                <w:rFonts w:ascii="宋体" w:eastAsia="宋体" w:hAnsi="宋体" w:cs="宋体" w:hint="eastAsia"/>
                <w:b/>
                <w:bCs/>
                <w:kern w:val="0"/>
                <w:sz w:val="24"/>
                <w:szCs w:val="24"/>
              </w:rPr>
              <w:t>企业董事长、总经理、副总经理、生产部门总负责人、财务总监等</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kern w:val="0"/>
                <w:sz w:val="24"/>
                <w:szCs w:val="24"/>
              </w:rPr>
            </w:pPr>
            <w:r w:rsidRPr="00A30292">
              <w:rPr>
                <w:rFonts w:ascii="宋体" w:eastAsia="宋体" w:hAnsi="宋体" w:cs="宋体" w:hint="eastAsia"/>
                <w:b/>
                <w:bCs/>
                <w:color w:val="993300"/>
                <w:kern w:val="0"/>
                <w:sz w:val="24"/>
                <w:szCs w:val="24"/>
              </w:rPr>
              <w:t>学·习·费·用：</w:t>
            </w:r>
            <w:r w:rsidRPr="00A30292">
              <w:rPr>
                <w:rFonts w:ascii="宋体" w:eastAsia="宋体" w:hAnsi="宋体" w:cs="宋体" w:hint="eastAsia"/>
                <w:b/>
                <w:bCs/>
                <w:kern w:val="0"/>
                <w:sz w:val="24"/>
                <w:szCs w:val="24"/>
              </w:rPr>
              <w:t>5800/人（含课程讲义、午餐、税费、茶点等）</w:t>
            </w:r>
          </w:p>
        </w:tc>
      </w:tr>
      <w:tr w:rsidR="00A30292" w:rsidRPr="00A30292" w:rsidTr="004D2BFD">
        <w:trPr>
          <w:trHeight w:val="402"/>
        </w:trPr>
        <w:tc>
          <w:tcPr>
            <w:tcW w:w="9498" w:type="dxa"/>
            <w:tcBorders>
              <w:top w:val="nil"/>
              <w:left w:val="nil"/>
              <w:bottom w:val="nil"/>
              <w:right w:val="nil"/>
            </w:tcBorders>
            <w:shd w:val="clear" w:color="auto" w:fill="auto"/>
            <w:vAlign w:val="center"/>
            <w:hideMark/>
          </w:tcPr>
          <w:p w:rsidR="00A30292" w:rsidRPr="00A30292" w:rsidRDefault="00A30292" w:rsidP="00A30292">
            <w:pPr>
              <w:widowControl/>
              <w:jc w:val="left"/>
              <w:rPr>
                <w:rFonts w:ascii="宋体" w:eastAsia="宋体" w:hAnsi="宋体" w:cs="宋体"/>
                <w:b/>
                <w:bCs/>
                <w:color w:val="0000FF"/>
                <w:kern w:val="0"/>
                <w:sz w:val="24"/>
                <w:szCs w:val="24"/>
              </w:rPr>
            </w:pPr>
            <w:r w:rsidRPr="00A30292">
              <w:rPr>
                <w:rFonts w:ascii="宋体" w:eastAsia="宋体" w:hAnsi="宋体" w:cs="宋体" w:hint="eastAsia"/>
                <w:b/>
                <w:bCs/>
                <w:color w:val="0000FF"/>
                <w:kern w:val="0"/>
                <w:sz w:val="24"/>
                <w:szCs w:val="24"/>
              </w:rPr>
              <w:t xml:space="preserve">联·系·邮·箱：jsqyxuxin@vip.163.com </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0000FF"/>
                <w:kern w:val="0"/>
                <w:sz w:val="24"/>
                <w:szCs w:val="24"/>
              </w:rPr>
            </w:pPr>
            <w:r w:rsidRPr="00A30292">
              <w:rPr>
                <w:rFonts w:ascii="宋体" w:eastAsia="宋体" w:hAnsi="宋体" w:cs="宋体" w:hint="eastAsia"/>
                <w:b/>
                <w:bCs/>
                <w:color w:val="0000FF"/>
                <w:kern w:val="0"/>
                <w:sz w:val="24"/>
                <w:szCs w:val="24"/>
              </w:rPr>
              <w:t xml:space="preserve">垂·询·热·线：021-31006787、0755-6128-0006   18917870808 许先生 </w:t>
            </w:r>
          </w:p>
        </w:tc>
      </w:tr>
      <w:tr w:rsidR="00A30292" w:rsidRPr="00A30292" w:rsidTr="004D2BFD">
        <w:trPr>
          <w:trHeight w:val="402"/>
        </w:trPr>
        <w:tc>
          <w:tcPr>
            <w:tcW w:w="9498" w:type="dxa"/>
            <w:tcBorders>
              <w:top w:val="nil"/>
              <w:left w:val="nil"/>
              <w:bottom w:val="nil"/>
              <w:right w:val="nil"/>
            </w:tcBorders>
            <w:shd w:val="clear" w:color="auto" w:fill="auto"/>
            <w:vAlign w:val="center"/>
            <w:hideMark/>
          </w:tcPr>
          <w:p w:rsidR="00A30292" w:rsidRPr="00A30292" w:rsidRDefault="00A30292" w:rsidP="00A30292">
            <w:pPr>
              <w:widowControl/>
              <w:jc w:val="left"/>
              <w:rPr>
                <w:rFonts w:ascii="宋体" w:eastAsia="宋体" w:hAnsi="宋体" w:cs="宋体"/>
                <w:b/>
                <w:bCs/>
                <w:color w:val="0000FF"/>
                <w:kern w:val="0"/>
                <w:sz w:val="24"/>
                <w:szCs w:val="24"/>
              </w:rPr>
            </w:pPr>
            <w:r w:rsidRPr="00A30292">
              <w:rPr>
                <w:rFonts w:ascii="宋体" w:eastAsia="宋体" w:hAnsi="宋体" w:cs="宋体" w:hint="eastAsia"/>
                <w:b/>
                <w:bCs/>
                <w:color w:val="0000FF"/>
                <w:kern w:val="0"/>
                <w:sz w:val="24"/>
                <w:szCs w:val="24"/>
              </w:rPr>
              <w:t>在·线·QQ·微信：320588808</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2"/>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所谓阿米巴经营模式就是将整个公司分割成许多个被称为阿米巴的小型组织，每个小型组</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 xml:space="preserve">织都作为一个独立的利润中心，按照小企业、小商店的方式进行独立经营。 </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以各个“阿米巴”为核心，自行制订经营计划，独立核算，持续自主成长，让每一位员工</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成为主角，全员参与经营。实施阿米巴经营模式结合中国本土文化能很好地将市场竞争压</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2"/>
              </w:rPr>
            </w:pPr>
            <w:r w:rsidRPr="00A30292">
              <w:rPr>
                <w:rFonts w:ascii="宋体" w:eastAsia="宋体" w:hAnsi="宋体" w:cs="宋体" w:hint="eastAsia"/>
                <w:color w:val="000000"/>
                <w:kern w:val="0"/>
                <w:sz w:val="22"/>
              </w:rPr>
              <w:t>力传导给全员，解决员工的动力问题.</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2"/>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课·程·背·景：</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稻盛和夫是日本的“经营之神”</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白手起家创建二家世界500强企业，拯救了日航空；</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稻盛和夫采用阿米巴，带领企业二次突破石油危机，日元升值危机，日本泡沫经济，世界金融危机，</w:t>
            </w:r>
            <w:r w:rsidR="004D2BFD" w:rsidRPr="00A30292">
              <w:rPr>
                <w:rFonts w:ascii="宋体" w:eastAsia="宋体" w:hAnsi="宋体" w:cs="宋体" w:hint="eastAsia"/>
                <w:color w:val="000000"/>
                <w:kern w:val="0"/>
                <w:sz w:val="24"/>
                <w:szCs w:val="24"/>
              </w:rPr>
              <w:t>日本危机，在严寒中发展壮大，屹立不倒；50多年企业从未亏损，净利润远大于10%;</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稻盛和夫 在无任何航空经验的情况下接手企业，导入阿米巴一年内让巨亏的“日航空”实现</w:t>
            </w:r>
            <w:r w:rsidR="004D2BFD" w:rsidRPr="00A30292">
              <w:rPr>
                <w:rFonts w:ascii="宋体" w:eastAsia="宋体" w:hAnsi="宋体" w:cs="宋体" w:hint="eastAsia"/>
                <w:color w:val="000000"/>
                <w:kern w:val="0"/>
                <w:sz w:val="24"/>
                <w:szCs w:val="24"/>
              </w:rPr>
              <w:t>扭亏为 盈实现1884亿日元巨额盈利。</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海尔是中国的标志性企业，也是最早向日企学习的中国企业之一。</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1998年，张瑞敏正式提出企业的“内部模拟市场化”，在海尔内部全面推行“市场链”流程再造，</w:t>
            </w:r>
            <w:r w:rsidR="004D2BFD" w:rsidRPr="00A30292">
              <w:rPr>
                <w:rFonts w:ascii="宋体" w:eastAsia="宋体" w:hAnsi="宋体" w:cs="宋体" w:hint="eastAsia"/>
                <w:color w:val="000000"/>
                <w:kern w:val="0"/>
                <w:sz w:val="24"/>
                <w:szCs w:val="24"/>
              </w:rPr>
              <w:t>并提出了“人人是人才，赛马不相马”的全新用人理念。事业部SBU这个概念从此受到了中国企业界的密切关注。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海尔完成从传统的OEC管理向事业部SBU量化分权经营的转变之后，极大地释放了企业管理层智慧，</w:t>
            </w:r>
            <w:r w:rsidR="004D2BFD" w:rsidRPr="00A30292">
              <w:rPr>
                <w:rFonts w:ascii="宋体" w:eastAsia="宋体" w:hAnsi="宋体" w:cs="宋体" w:hint="eastAsia"/>
                <w:color w:val="000000"/>
                <w:kern w:val="0"/>
                <w:sz w:val="24"/>
                <w:szCs w:val="24"/>
              </w:rPr>
              <w:t>收获了丰富的经营成果。1998～2005年，海尔仅用了7年时间就松地实现了从100亿到1000亿的跨越。目前，海尔正在全面推行一个类似于京瓷“阿米巴经营”的模式，并为此去了一个通俗易懂的名字——“自主经营体”。</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kern w:val="0"/>
                <w:sz w:val="24"/>
                <w:szCs w:val="24"/>
              </w:rPr>
            </w:pPr>
            <w:r w:rsidRPr="00A30292">
              <w:rPr>
                <w:rFonts w:ascii="宋体" w:eastAsia="宋体" w:hAnsi="宋体" w:cs="宋体" w:hint="eastAsia"/>
                <w:b/>
                <w:bCs/>
                <w:color w:val="993300"/>
                <w:kern w:val="0"/>
                <w:sz w:val="24"/>
                <w:szCs w:val="24"/>
              </w:rPr>
              <w:t>讲·师·介·绍：[ 刁·东·平 ]</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阿米巴经营与中国企业经营相结合的实践先行者</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北大纵横管理咨询集团合伙人</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国际注册管理咨询师（CMC）</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lastRenderedPageBreak/>
              <w:t xml:space="preserve">中山大学创业学院实践导师 </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广东省培训协会优秀培训师</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世界500强松下电器高级经理</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授课超过800场，学员达40000多</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咨询项目服务过50多家企业</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东平老师在1997年-2004年在松下电器工作，从基层做到中高层管理职务，拥有丰富的 管理实战经验。2000</w:t>
            </w:r>
            <w:r w:rsidR="004D2BFD" w:rsidRPr="00A30292">
              <w:rPr>
                <w:rFonts w:ascii="宋体" w:eastAsia="宋体" w:hAnsi="宋体" w:cs="宋体" w:hint="eastAsia"/>
                <w:color w:val="000000"/>
                <w:kern w:val="0"/>
                <w:sz w:val="24"/>
                <w:szCs w:val="24"/>
              </w:rPr>
              <w:t>年曾赴日本松下研修管理经营模式，建立了完善的方法论和管理体系。</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2004年后，东平老师进入管理咨询行业，目前为北大纵横管理咨询集团的资深管理顾问和合伙人，任多家国</w:t>
            </w:r>
            <w:r w:rsidR="004D2BFD" w:rsidRPr="00A30292">
              <w:rPr>
                <w:rFonts w:ascii="宋体" w:eastAsia="宋体" w:hAnsi="宋体" w:cs="宋体" w:hint="eastAsia"/>
                <w:color w:val="000000"/>
                <w:kern w:val="0"/>
                <w:sz w:val="24"/>
                <w:szCs w:val="24"/>
              </w:rPr>
              <w:t>内知名企业常年顾问。擅长将行之有效的工具结合企业运作方式渗透到各级干部和员工的业务行为之中。</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东平老师不仅授课精彩，更能和企业的实际操作紧密结合。东平老师的授课超过 800场，是华南地区有较大</w:t>
            </w:r>
            <w:r w:rsidR="004D2BFD" w:rsidRPr="00A30292">
              <w:rPr>
                <w:rFonts w:ascii="宋体" w:eastAsia="宋体" w:hAnsi="宋体" w:cs="宋体" w:hint="eastAsia"/>
                <w:color w:val="000000"/>
                <w:kern w:val="0"/>
                <w:sz w:val="24"/>
                <w:szCs w:val="24"/>
              </w:rPr>
              <w:t>影响力的阿米巴经营模式和运营管理实践专家。</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同时，东平老师也是《班组管理》、《南方企业家》、《哈佛商业评论》、中国总裁网的撰稿人和专栏作家</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授·课·特·点:</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落地——确保将知识点落地，能迅速运用到工作中</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务实——案例全部来源于工作和咨询实践，让学员更好地理解掌握</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互动——将研讨、发表、游戏有效结合，注重学员的参与</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激情——讲课生动，充满煽动性和感染力</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课·程·特·点:</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采用国际职业训练协会训练方法，结合中国国情、企情创建设计的内容，以体验互动、问答式等最新教学方</w:t>
            </w:r>
            <w:r w:rsidR="004D2BFD" w:rsidRPr="00A30292">
              <w:rPr>
                <w:rFonts w:ascii="宋体" w:eastAsia="宋体" w:hAnsi="宋体" w:cs="宋体" w:hint="eastAsia"/>
                <w:color w:val="000000"/>
                <w:kern w:val="0"/>
                <w:sz w:val="24"/>
                <w:szCs w:val="24"/>
              </w:rPr>
              <w:t>式授课，以效果为导向：学、练、辅、辨紧密结合，帮助学员快速提升自己，同时使自己的管理能力快速提升，为企业创造更好价值，可以现场考核企业创新力。</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课·程·大·纲：</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一、什么是阿米巴经营模式</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1、阿米巴经营模式的诞生</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2、阿米巴的定义和特征</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3、阿米巴经营模式的理念</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4、稻盛和夫的实学与哲学</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5、阿米巴经营的七大目的</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6、培养员工的自主意识</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二、细分事业单元：阿米巴组织的构建</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lastRenderedPageBreak/>
              <w:t>1、组织模式和企业经营的关系</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2、传统企业组织模式的优缺点</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3、阿米巴组织细分的五个条件</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4、阿米巴组织模式的特点：</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a)经营者全盘掌握；</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b)提拔培养人才；</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c)划分组织，拓展事业</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5、阿米巴组织细分的四个条件：</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a)能够进行独立核算的单位；</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b)能够独立开展业务的单位；</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c)能够执行公司目标的单元；</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d)组织划分后的管理成本不能够太高</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6、建立能够灵活应对市场的组织：各个业务单元之间的关系</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6、经营管理部：阿米巴经营模式的支撑部门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7、从业务价值流的角度划分组织</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8、案例与讨论：如何合理划分阿米巴组织？</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9、将组织的变化当成一种常态：阿米巴组织再造</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三、单位时间核算制</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1、引子：路边摊位的经营</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2、传统会计的六大误区</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3、标准成本方法、目标倒置法和售价还原成本法</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4、案例：会计为决策服务，而不是满足会计原则—识别出沉没成本对决策的价值</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5、单位时间效益核算制度：现场可行的管理会计方法</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6、单位时间核算制的计算方法</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7、案例：销售型、制造型、服务型三种不同企业的单位时间效益核算方法；</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8、单位时间核算制的出货、采购和库存管理</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9、劳务费用不计入单位时间核算制的秘密</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10、单位时间效益核算表的用途：</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a)掌握经营情况</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b)凝聚全员的力量</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c)提高生产效率</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d)统一运作管理</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lastRenderedPageBreak/>
              <w:t>四、阿米巴之间的核算与内部市场化</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1、阿米巴管理会计及其作用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2、阿米巴单元经营会计核算的准则</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3、人人都是经营者：把市场机制引入公司内部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4、定价是经营之本：阿米巴单元之间的定价</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5、最终售价倒推来决定各道工序的价格</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6、案例与讨论：各个部门之间的定价方法</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7、公司高层在内部市场定价中的作用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8、现场游戏体验：加油站的阿米巴经营</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9、阿米巴领导者在内部市场化中的作用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五、如何运行阿米巴经营模式</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1、从承担责任到充分授权</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2、建立高度透明的经营环境</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3、PDCA循环与持续改进；</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4、案例与现场辅导：A3汇报法的制作方法和运用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5、全员参与的的改善方法</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6、阿米巴单元如何制定目标与计划</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a) 目标可行性评估</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b）寻找关键要素_</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c) 战略如何转化为行动？-战略如何分解？</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d) 整体运作方法－从目标到行动措施</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e) 阿米巴计划的构成要素</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7、阿米巴会议的要点</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8、案例与现场辅导：阿米巴会议的组织与召开</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9、制订年度计划、月度计划和执行计划</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10、案例与现场辅导：现场操练模拟：三类计划的现场制订辅导</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11、反馈和评估系统</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六、阿米巴经营模式的有效运用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1、阿米巴单元业绩与个人绩效考核的关系</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2、分组讨论：阿米巴单元是否需要将效益和员工收入挂钩？</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3、案例与讨论：重结果奖惩还是重过程控制？两种不同管理方法在中国企业的运用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4、构建人才建设的梯队：阿米巴领导选择与人才培养计划</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lastRenderedPageBreak/>
              <w:t>5、阿米巴的分裂和合并：为实现灵活多样的业务模式做准备</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6、增加单元价值，减少单元浪费：精益管理在业务单元中的运用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b/>
                <w:bCs/>
                <w:color w:val="993300"/>
                <w:kern w:val="0"/>
                <w:sz w:val="24"/>
                <w:szCs w:val="24"/>
              </w:rPr>
            </w:pPr>
            <w:r w:rsidRPr="00A30292">
              <w:rPr>
                <w:rFonts w:ascii="宋体" w:eastAsia="宋体" w:hAnsi="宋体" w:cs="宋体" w:hint="eastAsia"/>
                <w:b/>
                <w:bCs/>
                <w:color w:val="993300"/>
                <w:kern w:val="0"/>
                <w:sz w:val="24"/>
                <w:szCs w:val="24"/>
              </w:rPr>
              <w:t>七、阿米巴经营哲学在中国的运用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1、京瓷价值观在各单元定价之中的地位与作用：公平、正义、正直，努力，公司全局观</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2、成果主义适用与中国国情吗？单元盈利与企业绩效之间的关系与运用</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3、实力主义，不拘一格降人才</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4、领导的使命</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5、用将来进行时看待人才的素质和能力</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6、短期目标与事业的可持续性</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7、阿米巴经营在中日两国的背景差异和解决方法</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a) 社会文化背景的差异和对策</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b) 商业文化的差异和对策</w:t>
            </w:r>
          </w:p>
        </w:tc>
      </w:tr>
      <w:tr w:rsidR="00A30292" w:rsidRPr="00A30292" w:rsidTr="004D2BFD">
        <w:trPr>
          <w:trHeight w:val="402"/>
        </w:trPr>
        <w:tc>
          <w:tcPr>
            <w:tcW w:w="9498" w:type="dxa"/>
            <w:tcBorders>
              <w:top w:val="nil"/>
              <w:left w:val="nil"/>
              <w:bottom w:val="nil"/>
              <w:right w:val="nil"/>
            </w:tcBorders>
            <w:shd w:val="clear" w:color="auto" w:fill="auto"/>
            <w:noWrap/>
            <w:vAlign w:val="center"/>
            <w:hideMark/>
          </w:tcPr>
          <w:p w:rsidR="00A30292" w:rsidRPr="00A30292" w:rsidRDefault="00A30292" w:rsidP="00A30292">
            <w:pPr>
              <w:widowControl/>
              <w:jc w:val="left"/>
              <w:rPr>
                <w:rFonts w:ascii="宋体" w:eastAsia="宋体" w:hAnsi="宋体" w:cs="宋体"/>
                <w:color w:val="000000"/>
                <w:kern w:val="0"/>
                <w:sz w:val="24"/>
                <w:szCs w:val="24"/>
              </w:rPr>
            </w:pPr>
            <w:r w:rsidRPr="00A30292">
              <w:rPr>
                <w:rFonts w:ascii="宋体" w:eastAsia="宋体" w:hAnsi="宋体" w:cs="宋体" w:hint="eastAsia"/>
                <w:color w:val="000000"/>
                <w:kern w:val="0"/>
                <w:sz w:val="24"/>
                <w:szCs w:val="24"/>
              </w:rPr>
              <w:t>c) 员工对企业归属感的差异和对策</w:t>
            </w:r>
          </w:p>
        </w:tc>
      </w:tr>
    </w:tbl>
    <w:p w:rsidR="001C6026" w:rsidRPr="00A30292" w:rsidRDefault="001C6026"/>
    <w:sectPr w:rsidR="001C6026" w:rsidRPr="00A302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26" w:rsidRDefault="001C6026" w:rsidP="00A30292">
      <w:r>
        <w:separator/>
      </w:r>
    </w:p>
  </w:endnote>
  <w:endnote w:type="continuationSeparator" w:id="1">
    <w:p w:rsidR="001C6026" w:rsidRDefault="001C6026" w:rsidP="00A30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26" w:rsidRDefault="001C6026" w:rsidP="00A30292">
      <w:r>
        <w:separator/>
      </w:r>
    </w:p>
  </w:footnote>
  <w:footnote w:type="continuationSeparator" w:id="1">
    <w:p w:rsidR="001C6026" w:rsidRDefault="001C6026" w:rsidP="00A302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292"/>
    <w:rsid w:val="001C6026"/>
    <w:rsid w:val="004D2BFD"/>
    <w:rsid w:val="00A30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02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0292"/>
    <w:rPr>
      <w:sz w:val="18"/>
      <w:szCs w:val="18"/>
    </w:rPr>
  </w:style>
  <w:style w:type="paragraph" w:styleId="a4">
    <w:name w:val="footer"/>
    <w:basedOn w:val="a"/>
    <w:link w:val="Char0"/>
    <w:uiPriority w:val="99"/>
    <w:semiHidden/>
    <w:unhideWhenUsed/>
    <w:rsid w:val="00A302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292"/>
    <w:rPr>
      <w:sz w:val="18"/>
      <w:szCs w:val="18"/>
    </w:rPr>
  </w:style>
  <w:style w:type="paragraph" w:styleId="a5">
    <w:name w:val="Normal (Web)"/>
    <w:basedOn w:val="a"/>
    <w:uiPriority w:val="99"/>
    <w:semiHidden/>
    <w:unhideWhenUsed/>
    <w:rsid w:val="00A3029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292"/>
    <w:rPr>
      <w:b/>
      <w:bCs/>
    </w:rPr>
  </w:style>
</w:styles>
</file>

<file path=word/webSettings.xml><?xml version="1.0" encoding="utf-8"?>
<w:webSettings xmlns:r="http://schemas.openxmlformats.org/officeDocument/2006/relationships" xmlns:w="http://schemas.openxmlformats.org/wordprocessingml/2006/main">
  <w:divs>
    <w:div w:id="522472947">
      <w:bodyDiv w:val="1"/>
      <w:marLeft w:val="0"/>
      <w:marRight w:val="0"/>
      <w:marTop w:val="0"/>
      <w:marBottom w:val="0"/>
      <w:divBdr>
        <w:top w:val="none" w:sz="0" w:space="0" w:color="auto"/>
        <w:left w:val="none" w:sz="0" w:space="0" w:color="auto"/>
        <w:bottom w:val="none" w:sz="0" w:space="0" w:color="auto"/>
        <w:right w:val="none" w:sz="0" w:space="0" w:color="auto"/>
      </w:divBdr>
    </w:div>
    <w:div w:id="17371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ANGE!A1"/><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2016-03-31T08:32:00Z</dcterms:created>
  <dcterms:modified xsi:type="dcterms:W3CDTF">2016-03-31T08:47:00Z</dcterms:modified>
</cp:coreProperties>
</file>