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p>
          <w:p w:rsidR="001D1CAD" w:rsidRDefault="00E94573" w:rsidP="0046066D">
            <w:pPr>
              <w:widowControl/>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11月</w:t>
            </w:r>
            <w:r w:rsidRPr="00E94573">
              <w:rPr>
                <w:rFonts w:ascii="宋体" w:eastAsia="宋体" w:hAnsi="宋体" w:cs="宋体" w:hint="eastAsia"/>
                <w:b/>
                <w:bCs/>
                <w:color w:val="7030A0"/>
                <w:kern w:val="0"/>
                <w:sz w:val="24"/>
                <w:szCs w:val="24"/>
              </w:rPr>
              <w:t>04-05北京</w:t>
            </w:r>
            <w:r>
              <w:rPr>
                <w:rFonts w:ascii="宋体" w:eastAsia="宋体" w:hAnsi="宋体" w:cs="宋体" w:hint="eastAsia"/>
                <w:b/>
                <w:bCs/>
                <w:color w:val="7030A0"/>
                <w:kern w:val="0"/>
                <w:sz w:val="24"/>
                <w:szCs w:val="24"/>
              </w:rPr>
              <w:t xml:space="preserve"> </w:t>
            </w:r>
            <w:r w:rsidRPr="00E94573">
              <w:rPr>
                <w:rFonts w:ascii="宋体" w:eastAsia="宋体" w:hAnsi="宋体" w:cs="宋体" w:hint="eastAsia"/>
                <w:b/>
                <w:bCs/>
                <w:color w:val="7030A0"/>
                <w:kern w:val="0"/>
                <w:sz w:val="24"/>
                <w:szCs w:val="24"/>
              </w:rPr>
              <w:t>（B单元）</w:t>
            </w:r>
            <w:r w:rsidR="001D1CAD">
              <w:rPr>
                <w:rFonts w:ascii="宋体" w:eastAsia="宋体" w:hAnsi="宋体" w:cs="宋体" w:hint="eastAsia"/>
                <w:b/>
                <w:bCs/>
                <w:color w:val="7030A0"/>
                <w:kern w:val="0"/>
                <w:sz w:val="24"/>
                <w:szCs w:val="24"/>
              </w:rPr>
              <w:t xml:space="preserve">  12月</w:t>
            </w:r>
            <w:r w:rsidR="001D1CAD" w:rsidRPr="001D1CAD">
              <w:rPr>
                <w:rFonts w:ascii="宋体" w:eastAsia="宋体" w:hAnsi="宋体" w:cs="宋体" w:hint="eastAsia"/>
                <w:b/>
                <w:bCs/>
                <w:color w:val="7030A0"/>
                <w:kern w:val="0"/>
                <w:sz w:val="24"/>
                <w:szCs w:val="24"/>
              </w:rPr>
              <w:t>02-03北京（A单元）</w:t>
            </w:r>
          </w:p>
          <w:p w:rsidR="0046066D" w:rsidRPr="00485FFE" w:rsidRDefault="001D1CAD" w:rsidP="0046066D">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11月</w:t>
            </w:r>
            <w:r w:rsidRPr="001D1CAD">
              <w:rPr>
                <w:rFonts w:ascii="宋体" w:eastAsia="宋体" w:hAnsi="宋体" w:cs="宋体" w:hint="eastAsia"/>
                <w:b/>
                <w:bCs/>
                <w:color w:val="7030A0"/>
                <w:kern w:val="0"/>
                <w:sz w:val="24"/>
                <w:szCs w:val="24"/>
              </w:rPr>
              <w:t>11-12深圳（B单元）</w:t>
            </w:r>
            <w:r>
              <w:rPr>
                <w:rFonts w:ascii="宋体" w:eastAsia="宋体" w:hAnsi="宋体" w:cs="宋体" w:hint="eastAsia"/>
                <w:b/>
                <w:bCs/>
                <w:color w:val="7030A0"/>
                <w:kern w:val="0"/>
                <w:sz w:val="24"/>
                <w:szCs w:val="24"/>
              </w:rPr>
              <w:t xml:space="preserve">   12月</w:t>
            </w:r>
            <w:r w:rsidRPr="001D1CAD">
              <w:rPr>
                <w:rFonts w:ascii="宋体" w:eastAsia="宋体" w:hAnsi="宋体" w:cs="宋体" w:hint="eastAsia"/>
                <w:b/>
                <w:bCs/>
                <w:color w:val="7030A0"/>
                <w:kern w:val="0"/>
                <w:sz w:val="24"/>
                <w:szCs w:val="24"/>
              </w:rPr>
              <w:t>09-10深圳（A单元）</w:t>
            </w:r>
          </w:p>
          <w:p w:rsidR="0046066D" w:rsidRDefault="0046066D" w:rsidP="0083223C">
            <w:pPr>
              <w:widowControl/>
              <w:rPr>
                <w:rFonts w:ascii="宋体" w:eastAsia="宋体" w:hAnsi="宋体" w:cs="宋体" w:hint="eastAsia"/>
                <w:b/>
                <w:bCs/>
                <w:color w:val="7030A0"/>
                <w:kern w:val="0"/>
                <w:sz w:val="24"/>
                <w:szCs w:val="24"/>
              </w:rPr>
            </w:pPr>
            <w:r w:rsidRPr="00485FFE">
              <w:rPr>
                <w:rFonts w:ascii="宋体" w:eastAsia="宋体" w:hAnsi="宋体" w:cs="宋体" w:hint="eastAsia"/>
                <w:b/>
                <w:bCs/>
                <w:color w:val="7030A0"/>
                <w:kern w:val="0"/>
                <w:sz w:val="24"/>
                <w:szCs w:val="24"/>
              </w:rPr>
              <w:t>11月18-19广州（A单元）</w:t>
            </w:r>
            <w:r>
              <w:rPr>
                <w:rFonts w:ascii="宋体" w:eastAsia="宋体" w:hAnsi="宋体" w:cs="宋体" w:hint="eastAsia"/>
                <w:b/>
                <w:bCs/>
                <w:color w:val="7030A0"/>
                <w:kern w:val="0"/>
                <w:sz w:val="24"/>
                <w:szCs w:val="24"/>
              </w:rPr>
              <w:t xml:space="preserve">   12月</w:t>
            </w:r>
            <w:r w:rsidRPr="0046066D">
              <w:rPr>
                <w:rFonts w:ascii="宋体" w:eastAsia="宋体" w:hAnsi="宋体" w:cs="宋体" w:hint="eastAsia"/>
                <w:b/>
                <w:bCs/>
                <w:color w:val="7030A0"/>
                <w:kern w:val="0"/>
                <w:sz w:val="24"/>
                <w:szCs w:val="24"/>
              </w:rPr>
              <w:t>16-17广州</w:t>
            </w:r>
            <w:r w:rsidR="00E94573">
              <w:rPr>
                <w:rFonts w:ascii="宋体" w:eastAsia="宋体" w:hAnsi="宋体" w:cs="宋体" w:hint="eastAsia"/>
                <w:b/>
                <w:bCs/>
                <w:color w:val="7030A0"/>
                <w:kern w:val="0"/>
                <w:sz w:val="24"/>
                <w:szCs w:val="24"/>
              </w:rPr>
              <w:t xml:space="preserve"> </w:t>
            </w:r>
            <w:r w:rsidRPr="0046066D">
              <w:rPr>
                <w:rFonts w:ascii="宋体" w:eastAsia="宋体" w:hAnsi="宋体" w:cs="宋体" w:hint="eastAsia"/>
                <w:b/>
                <w:bCs/>
                <w:color w:val="7030A0"/>
                <w:kern w:val="0"/>
                <w:sz w:val="24"/>
                <w:szCs w:val="24"/>
              </w:rPr>
              <w:t>（B单元）</w:t>
            </w:r>
          </w:p>
          <w:p w:rsidR="001D1CAD" w:rsidRPr="0046066D" w:rsidRDefault="001D1CAD" w:rsidP="0083223C">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11月</w:t>
            </w:r>
            <w:r w:rsidRPr="001D1CAD">
              <w:rPr>
                <w:rFonts w:ascii="宋体" w:eastAsia="宋体" w:hAnsi="宋体" w:cs="宋体" w:hint="eastAsia"/>
                <w:b/>
                <w:bCs/>
                <w:color w:val="7030A0"/>
                <w:kern w:val="0"/>
                <w:sz w:val="24"/>
                <w:szCs w:val="24"/>
              </w:rPr>
              <w:t>25-26上海（A单元）</w:t>
            </w:r>
            <w:r>
              <w:rPr>
                <w:rFonts w:ascii="宋体" w:eastAsia="宋体" w:hAnsi="宋体" w:cs="宋体" w:hint="eastAsia"/>
                <w:b/>
                <w:bCs/>
                <w:color w:val="7030A0"/>
                <w:kern w:val="0"/>
                <w:sz w:val="24"/>
                <w:szCs w:val="24"/>
              </w:rPr>
              <w:t xml:space="preserve">   12月</w:t>
            </w:r>
            <w:r w:rsidRPr="001D1CAD">
              <w:rPr>
                <w:rFonts w:ascii="宋体" w:eastAsia="宋体" w:hAnsi="宋体" w:cs="宋体" w:hint="eastAsia"/>
                <w:b/>
                <w:bCs/>
                <w:color w:val="7030A0"/>
                <w:kern w:val="0"/>
                <w:sz w:val="24"/>
                <w:szCs w:val="24"/>
              </w:rPr>
              <w:t>22-23上海（B单元）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【参加对象】</w:t>
            </w:r>
            <w:r w:rsidRPr="00956792">
              <w:rPr>
                <w:rFonts w:ascii="宋体" w:eastAsia="宋体" w:hAnsi="宋体" w:cs="宋体" w:hint="eastAsia"/>
                <w:color w:val="000000"/>
                <w:kern w:val="0"/>
                <w:sz w:val="24"/>
                <w:szCs w:val="24"/>
              </w:rPr>
              <w:t xml:space="preserve">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【授课方式】</w:t>
            </w:r>
            <w:r w:rsidRPr="00956792">
              <w:rPr>
                <w:rFonts w:ascii="宋体" w:eastAsia="宋体" w:hAnsi="宋体" w:cs="宋体" w:hint="eastAsia"/>
                <w:color w:val="000000"/>
                <w:kern w:val="0"/>
                <w:sz w:val="24"/>
                <w:szCs w:val="24"/>
              </w:rPr>
              <w:t xml:space="preserve">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【学习费用】</w:t>
            </w:r>
            <w:r w:rsidRPr="00956792">
              <w:rPr>
                <w:rFonts w:ascii="宋体" w:eastAsia="宋体" w:hAnsi="宋体" w:cs="宋体" w:hint="eastAsia"/>
                <w:color w:val="000000"/>
                <w:kern w:val="0"/>
                <w:sz w:val="24"/>
                <w:szCs w:val="24"/>
              </w:rPr>
              <w:t xml:space="preserve">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46066D" w:rsidRDefault="00956792" w:rsidP="0046066D">
            <w:pPr>
              <w:widowControl/>
              <w:jc w:val="left"/>
              <w:rPr>
                <w:rFonts w:ascii="宋体" w:eastAsia="宋体" w:hAnsi="宋体" w:cs="宋体"/>
                <w:b/>
                <w:color w:val="000000"/>
                <w:kern w:val="0"/>
                <w:sz w:val="24"/>
                <w:szCs w:val="24"/>
              </w:rPr>
            </w:pPr>
            <w:r w:rsidRPr="0046066D">
              <w:rPr>
                <w:rFonts w:ascii="宋体" w:eastAsia="宋体" w:hAnsi="宋体" w:cs="宋体" w:hint="eastAsia"/>
                <w:b/>
                <w:color w:val="000000"/>
                <w:kern w:val="0"/>
                <w:sz w:val="24"/>
                <w:szCs w:val="24"/>
              </w:rPr>
              <w:t>【报名热线】</w:t>
            </w:r>
            <w:r w:rsidRPr="0083223C">
              <w:rPr>
                <w:rFonts w:ascii="宋体" w:eastAsia="宋体" w:hAnsi="宋体" w:cs="宋体" w:hint="eastAsia"/>
                <w:b/>
                <w:color w:val="000000"/>
                <w:kern w:val="0"/>
                <w:sz w:val="24"/>
                <w:szCs w:val="24"/>
              </w:rPr>
              <w:t xml:space="preserve">021-3100-6787、 010-5129-9910   0755-6128-0006 </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1D1CAD">
        <w:trPr>
          <w:trHeight w:val="774"/>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46066D"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46066D"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46066D"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r w:rsidR="0046066D"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46066D"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46066D"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46066D"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46066D"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r w:rsidR="0046066D"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w:t>
            </w:r>
            <w:r w:rsidRPr="00956792">
              <w:rPr>
                <w:rFonts w:ascii="宋体" w:eastAsia="宋体" w:hAnsi="宋体" w:cs="宋体" w:hint="eastAsia"/>
                <w:kern w:val="0"/>
                <w:sz w:val="22"/>
              </w:rPr>
              <w:lastRenderedPageBreak/>
              <w:t>企业该如何做，才</w:t>
            </w:r>
            <w:r w:rsidR="0046066D"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12.“录音录象”证据，仲裁与法院是否采信；企业内部OA系统上的资料能否作为证据使用；电子邮件、</w:t>
            </w:r>
            <w:r w:rsidR="0046066D" w:rsidRPr="00956792">
              <w:rPr>
                <w:rFonts w:ascii="宋体" w:eastAsia="宋体" w:hAnsi="宋体" w:cs="宋体" w:hint="eastAsia"/>
                <w:kern w:val="0"/>
                <w:sz w:val="22"/>
              </w:rPr>
              <w:t>手机短信能否作为证据使用？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46066D"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r w:rsidR="0046066D" w:rsidRPr="00956792">
              <w:rPr>
                <w:rFonts w:ascii="宋体" w:eastAsia="宋体" w:hAnsi="宋体" w:cs="宋体" w:hint="eastAsia"/>
                <w:kern w:val="0"/>
                <w:sz w:val="22"/>
              </w:rPr>
              <w:t>赔偿？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F0" w:rsidRDefault="001522F0" w:rsidP="00956792">
      <w:r>
        <w:separator/>
      </w:r>
    </w:p>
  </w:endnote>
  <w:endnote w:type="continuationSeparator" w:id="1">
    <w:p w:rsidR="001522F0" w:rsidRDefault="001522F0"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F0" w:rsidRDefault="001522F0" w:rsidP="00956792">
      <w:r>
        <w:separator/>
      </w:r>
    </w:p>
  </w:footnote>
  <w:footnote w:type="continuationSeparator" w:id="1">
    <w:p w:rsidR="001522F0" w:rsidRDefault="001522F0"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522F0"/>
    <w:rsid w:val="00195272"/>
    <w:rsid w:val="001D1CAD"/>
    <w:rsid w:val="00216D8F"/>
    <w:rsid w:val="0024714B"/>
    <w:rsid w:val="00274BDF"/>
    <w:rsid w:val="0029697E"/>
    <w:rsid w:val="002C662C"/>
    <w:rsid w:val="00345664"/>
    <w:rsid w:val="00387EBF"/>
    <w:rsid w:val="003F2AD5"/>
    <w:rsid w:val="00407B40"/>
    <w:rsid w:val="00414993"/>
    <w:rsid w:val="0046066D"/>
    <w:rsid w:val="004833EF"/>
    <w:rsid w:val="00485FFE"/>
    <w:rsid w:val="00515478"/>
    <w:rsid w:val="00565233"/>
    <w:rsid w:val="005B18ED"/>
    <w:rsid w:val="00657456"/>
    <w:rsid w:val="006677F0"/>
    <w:rsid w:val="00680938"/>
    <w:rsid w:val="006D70EA"/>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26237"/>
    <w:rsid w:val="00BD521D"/>
    <w:rsid w:val="00BE75D7"/>
    <w:rsid w:val="00C41784"/>
    <w:rsid w:val="00C44DF4"/>
    <w:rsid w:val="00C91B85"/>
    <w:rsid w:val="00D502DA"/>
    <w:rsid w:val="00D61C19"/>
    <w:rsid w:val="00E94573"/>
    <w:rsid w:val="00F6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66</cp:revision>
  <dcterms:created xsi:type="dcterms:W3CDTF">2015-12-13T15:23:00Z</dcterms:created>
  <dcterms:modified xsi:type="dcterms:W3CDTF">2016-11-02T14:45:00Z</dcterms:modified>
</cp:coreProperties>
</file>