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88" w:rsidRPr="00641214" w:rsidRDefault="00B04A75" w:rsidP="007955D7">
      <w:pPr>
        <w:spacing w:line="420" w:lineRule="exact"/>
        <w:jc w:val="center"/>
        <w:rPr>
          <w:rFonts w:ascii="微软雅黑" w:eastAsia="微软雅黑" w:hAnsi="微软雅黑" w:cs="新宋体"/>
          <w:b/>
          <w:bCs/>
          <w:color w:val="FF0000"/>
          <w:sz w:val="36"/>
          <w:szCs w:val="36"/>
        </w:rPr>
      </w:pPr>
      <w:bookmarkStart w:id="0" w:name="_GoBack"/>
      <w:r w:rsidRPr="00641214">
        <w:rPr>
          <w:rFonts w:ascii="微软雅黑" w:eastAsia="微软雅黑" w:hAnsi="微软雅黑" w:cs="新宋体" w:hint="eastAsia"/>
          <w:b/>
          <w:bCs/>
          <w:color w:val="FF0000"/>
          <w:sz w:val="36"/>
          <w:szCs w:val="36"/>
        </w:rPr>
        <w:t>企业关键人才管理体系设计新模式</w:t>
      </w:r>
      <w:bookmarkEnd w:id="0"/>
    </w:p>
    <w:p w:rsidR="004E14D0" w:rsidRDefault="004E14D0">
      <w:pPr>
        <w:rPr>
          <w:rFonts w:asciiTheme="minorEastAsia" w:hAnsiTheme="minorEastAsia" w:cstheme="majorEastAsia"/>
          <w:sz w:val="21"/>
          <w:szCs w:val="21"/>
        </w:rPr>
      </w:pPr>
    </w:p>
    <w:p w:rsidR="00463788" w:rsidRPr="007955D7" w:rsidRDefault="00B04A75">
      <w:pPr>
        <w:rPr>
          <w:rFonts w:ascii="微软雅黑" w:eastAsia="微软雅黑" w:hAnsi="微软雅黑" w:cstheme="majorEastAsia"/>
          <w:b/>
          <w:bCs/>
          <w:color w:val="000000"/>
        </w:rPr>
      </w:pPr>
      <w:r w:rsidRPr="007955D7">
        <w:rPr>
          <w:rFonts w:ascii="微软雅黑" w:eastAsia="微软雅黑" w:hAnsi="微软雅黑" w:cstheme="majorEastAsia" w:hint="eastAsia"/>
          <w:b/>
        </w:rPr>
        <w:t>时间地点：</w:t>
      </w:r>
      <w:r w:rsidRPr="007955D7">
        <w:rPr>
          <w:rFonts w:ascii="微软雅黑" w:eastAsia="微软雅黑" w:hAnsi="微软雅黑" w:cs="宋体" w:hint="eastAsia"/>
          <w:b/>
          <w:bCs/>
        </w:rPr>
        <w:t>2016年11月25-26日</w:t>
      </w:r>
      <w:r w:rsidR="00A07F12" w:rsidRPr="007955D7">
        <w:rPr>
          <w:rFonts w:ascii="微软雅黑" w:eastAsia="微软雅黑" w:hAnsi="微软雅黑" w:cs="宋体" w:hint="eastAsia"/>
          <w:b/>
          <w:bCs/>
        </w:rPr>
        <w:t xml:space="preserve">  </w:t>
      </w:r>
      <w:r w:rsidRPr="007955D7">
        <w:rPr>
          <w:rFonts w:ascii="微软雅黑" w:eastAsia="微软雅黑" w:hAnsi="微软雅黑" w:cs="宋体" w:hint="eastAsia"/>
          <w:b/>
          <w:bCs/>
        </w:rPr>
        <w:t>深圳</w:t>
      </w:r>
      <w:r w:rsidR="00A07F12" w:rsidRPr="007955D7">
        <w:rPr>
          <w:rFonts w:ascii="微软雅黑" w:eastAsia="微软雅黑" w:hAnsi="微软雅黑" w:cs="宋体" w:hint="eastAsia"/>
          <w:b/>
          <w:bCs/>
        </w:rPr>
        <w:t xml:space="preserve">    </w:t>
      </w:r>
      <w:r w:rsidRPr="007955D7">
        <w:rPr>
          <w:rFonts w:ascii="微软雅黑" w:eastAsia="微软雅黑" w:hAnsi="微软雅黑" w:cs="宋体" w:hint="eastAsia"/>
          <w:b/>
          <w:bCs/>
        </w:rPr>
        <w:t>2016年12月2-3日</w:t>
      </w:r>
      <w:r w:rsidR="00A07F12" w:rsidRPr="007955D7">
        <w:rPr>
          <w:rFonts w:ascii="微软雅黑" w:eastAsia="微软雅黑" w:hAnsi="微软雅黑" w:cs="宋体" w:hint="eastAsia"/>
          <w:b/>
          <w:bCs/>
        </w:rPr>
        <w:t xml:space="preserve">  </w:t>
      </w:r>
      <w:r w:rsidRPr="007955D7">
        <w:rPr>
          <w:rFonts w:ascii="微软雅黑" w:eastAsia="微软雅黑" w:hAnsi="微软雅黑" w:cs="宋体" w:hint="eastAsia"/>
          <w:b/>
          <w:bCs/>
        </w:rPr>
        <w:t>上海</w:t>
      </w:r>
    </w:p>
    <w:p w:rsidR="00463788" w:rsidRPr="007955D7" w:rsidRDefault="00B04A75">
      <w:pPr>
        <w:spacing w:line="420" w:lineRule="exact"/>
        <w:rPr>
          <w:rFonts w:ascii="微软雅黑" w:eastAsia="微软雅黑" w:hAnsi="微软雅黑" w:cstheme="majorEastAsia"/>
          <w:b/>
        </w:rPr>
      </w:pPr>
      <w:r w:rsidRPr="007955D7">
        <w:rPr>
          <w:rFonts w:ascii="微软雅黑" w:eastAsia="微软雅黑" w:hAnsi="微软雅黑" w:cstheme="majorEastAsia" w:hint="eastAsia"/>
          <w:b/>
        </w:rPr>
        <w:t>参加对象：</w:t>
      </w:r>
      <w:r w:rsidRPr="007955D7">
        <w:rPr>
          <w:rFonts w:ascii="微软雅黑" w:eastAsia="微软雅黑" w:hAnsi="微软雅黑" w:cs="黑体" w:hint="eastAsia"/>
          <w:b/>
          <w:bCs/>
        </w:rPr>
        <w:t>企业老板和高管；</w:t>
      </w:r>
      <w:r w:rsidRPr="007955D7">
        <w:rPr>
          <w:rFonts w:ascii="微软雅黑" w:eastAsia="微软雅黑" w:hAnsi="微软雅黑" w:hint="eastAsia"/>
          <w:b/>
        </w:rPr>
        <w:t>人力资源总监、经理。</w:t>
      </w:r>
    </w:p>
    <w:p w:rsidR="00463788" w:rsidRPr="007955D7" w:rsidRDefault="00B04A75">
      <w:pPr>
        <w:spacing w:line="288" w:lineRule="auto"/>
        <w:rPr>
          <w:rFonts w:ascii="微软雅黑" w:eastAsia="微软雅黑" w:hAnsi="微软雅黑" w:cstheme="majorEastAsia"/>
          <w:b/>
        </w:rPr>
      </w:pPr>
      <w:r w:rsidRPr="007955D7">
        <w:rPr>
          <w:rFonts w:ascii="微软雅黑" w:eastAsia="微软雅黑" w:hAnsi="微软雅黑" w:cstheme="majorEastAsia" w:hint="eastAsia"/>
          <w:b/>
        </w:rPr>
        <w:t>学习费用：3800元/人（授课费、教材费、培训证书、发票、午餐及茶点等）</w:t>
      </w:r>
    </w:p>
    <w:p w:rsidR="00A07F12" w:rsidRPr="007955D7" w:rsidRDefault="00A07F12" w:rsidP="00A07F12">
      <w:pPr>
        <w:pStyle w:val="a8"/>
        <w:rPr>
          <w:rFonts w:ascii="微软雅黑" w:eastAsia="微软雅黑" w:hAnsi="微软雅黑"/>
          <w:b/>
          <w:sz w:val="24"/>
          <w:szCs w:val="24"/>
        </w:rPr>
      </w:pPr>
      <w:r w:rsidRPr="007955D7">
        <w:rPr>
          <w:rFonts w:ascii="微软雅黑" w:eastAsia="微软雅黑" w:hAnsi="微软雅黑" w:hint="eastAsia"/>
          <w:b/>
          <w:sz w:val="24"/>
          <w:szCs w:val="24"/>
        </w:rPr>
        <w:t>垂询热线：021-31006787、</w:t>
      </w:r>
      <w:r w:rsidR="007955D7" w:rsidRPr="007955D7">
        <w:rPr>
          <w:rFonts w:ascii="微软雅黑" w:eastAsia="微软雅黑" w:hAnsi="微软雅黑" w:hint="eastAsia"/>
          <w:b/>
          <w:sz w:val="24"/>
          <w:szCs w:val="24"/>
        </w:rPr>
        <w:t>0755-61280006, 18917870808  许先生</w:t>
      </w:r>
    </w:p>
    <w:p w:rsidR="00A07F12" w:rsidRPr="007955D7" w:rsidRDefault="00A07F12" w:rsidP="00A07F12">
      <w:pPr>
        <w:rPr>
          <w:rFonts w:ascii="微软雅黑" w:eastAsia="微软雅黑" w:hAnsi="微软雅黑"/>
          <w:b/>
        </w:rPr>
      </w:pPr>
      <w:r w:rsidRPr="007955D7">
        <w:rPr>
          <w:rFonts w:ascii="微软雅黑" w:eastAsia="微软雅黑" w:hAnsi="微软雅黑" w:hint="eastAsia"/>
          <w:b/>
        </w:rPr>
        <w:t>电子邮箱：</w:t>
      </w:r>
      <w:r w:rsidR="007955D7" w:rsidRPr="007955D7">
        <w:rPr>
          <w:rFonts w:ascii="微软雅黑" w:eastAsia="微软雅黑" w:hAnsi="微软雅黑" w:hint="eastAsia"/>
          <w:b/>
        </w:rPr>
        <w:t>320588808</w:t>
      </w:r>
      <w:r w:rsidRPr="007955D7">
        <w:rPr>
          <w:rFonts w:ascii="微软雅黑" w:eastAsia="微软雅黑" w:hAnsi="微软雅黑" w:hint="eastAsia"/>
          <w:b/>
        </w:rPr>
        <w:t>@vip.qq.com</w:t>
      </w:r>
    </w:p>
    <w:p w:rsidR="00A07F12" w:rsidRPr="007955D7" w:rsidRDefault="00A07F12" w:rsidP="00A07F12">
      <w:pPr>
        <w:rPr>
          <w:rFonts w:ascii="微软雅黑" w:eastAsia="微软雅黑" w:hAnsi="微软雅黑"/>
          <w:b/>
        </w:rPr>
      </w:pPr>
      <w:r w:rsidRPr="007955D7">
        <w:rPr>
          <w:rFonts w:ascii="微软雅黑" w:eastAsia="微软雅黑" w:hAnsi="微软雅黑" w:hint="eastAsia"/>
          <w:b/>
        </w:rPr>
        <w:t>QQ/微信：</w:t>
      </w:r>
      <w:r w:rsidR="007955D7" w:rsidRPr="007955D7">
        <w:rPr>
          <w:rFonts w:ascii="微软雅黑" w:eastAsia="微软雅黑" w:hAnsi="微软雅黑" w:hint="eastAsia"/>
          <w:b/>
        </w:rPr>
        <w:t xml:space="preserve"> 320588808</w:t>
      </w:r>
    </w:p>
    <w:p w:rsidR="00A07F12" w:rsidRPr="00A07F12" w:rsidRDefault="00A07F12" w:rsidP="00A07F12">
      <w:pPr>
        <w:rPr>
          <w:rFonts w:asciiTheme="minorEastAsia" w:hAnsiTheme="minorEastAsia"/>
          <w:color w:val="00B0F0"/>
          <w:sz w:val="21"/>
          <w:szCs w:val="21"/>
          <w:u w:val="single"/>
        </w:rPr>
      </w:pPr>
    </w:p>
    <w:p w:rsidR="004E14D0" w:rsidRDefault="004E14D0">
      <w:pPr>
        <w:spacing w:line="420" w:lineRule="exact"/>
        <w:ind w:firstLine="420"/>
        <w:rPr>
          <w:rFonts w:ascii="仿宋_GB2312" w:eastAsia="仿宋_GB2312"/>
          <w:b/>
          <w:bCs/>
          <w:color w:val="FF0000"/>
        </w:rPr>
      </w:pPr>
    </w:p>
    <w:p w:rsidR="004E14D0" w:rsidRPr="007955D7" w:rsidRDefault="007955D7" w:rsidP="007955D7">
      <w:pPr>
        <w:spacing w:line="420" w:lineRule="exact"/>
        <w:rPr>
          <w:rFonts w:ascii="微软雅黑" w:eastAsia="微软雅黑" w:hAnsi="微软雅黑"/>
          <w:b/>
          <w:bCs/>
          <w:color w:val="0000FF"/>
          <w:sz w:val="28"/>
          <w:szCs w:val="28"/>
        </w:rPr>
      </w:pPr>
      <w:r w:rsidRPr="007955D7">
        <w:rPr>
          <w:rFonts w:ascii="微软雅黑" w:eastAsia="微软雅黑" w:hAnsi="微软雅黑" w:hint="eastAsia"/>
          <w:b/>
          <w:bCs/>
          <w:color w:val="0000FF"/>
          <w:sz w:val="28"/>
          <w:szCs w:val="28"/>
        </w:rPr>
        <w:t>课程背景：</w:t>
      </w:r>
    </w:p>
    <w:p w:rsidR="00463788" w:rsidRPr="00A07F12" w:rsidRDefault="00B04A75">
      <w:pPr>
        <w:spacing w:line="420" w:lineRule="exact"/>
        <w:ind w:firstLine="420"/>
        <w:rPr>
          <w:rFonts w:asciiTheme="minorEastAsia" w:hAnsiTheme="minorEastAsia" w:cs="黑体"/>
          <w:b/>
          <w:bCs/>
          <w:sz w:val="21"/>
          <w:szCs w:val="21"/>
        </w:rPr>
      </w:pPr>
      <w:r w:rsidRPr="00A07F12">
        <w:rPr>
          <w:rFonts w:asciiTheme="minorEastAsia" w:hAnsiTheme="minorEastAsia" w:cs="黑体" w:hint="eastAsia"/>
          <w:b/>
          <w:bCs/>
          <w:sz w:val="21"/>
          <w:szCs w:val="21"/>
        </w:rPr>
        <w:t>对关键人才的管理，很多企业有这样的困惑：</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---如何有效地甄选出关键人才？</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---如何进行关键人才的开发和培育？</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---如何有效地激励和保留关键人才？</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---如何动态地更新关键人才库？</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w:t>
      </w:r>
    </w:p>
    <w:p w:rsidR="00463788" w:rsidRPr="00A07F12" w:rsidRDefault="00B04A75" w:rsidP="00A07F12">
      <w:pPr>
        <w:spacing w:line="420" w:lineRule="exact"/>
        <w:ind w:firstLineChars="200" w:firstLine="420"/>
        <w:rPr>
          <w:rFonts w:asciiTheme="minorEastAsia" w:hAnsiTheme="minorEastAsia" w:cs="黑体"/>
          <w:bCs/>
          <w:sz w:val="21"/>
          <w:szCs w:val="21"/>
        </w:rPr>
      </w:pPr>
      <w:r w:rsidRPr="00A07F12">
        <w:rPr>
          <w:rFonts w:asciiTheme="minorEastAsia" w:hAnsiTheme="minorEastAsia" w:cs="黑体" w:hint="eastAsia"/>
          <w:bCs/>
          <w:sz w:val="21"/>
          <w:szCs w:val="21"/>
        </w:rPr>
        <w:t>本课程讲师凭借多年大型跨国公司人才管理实战经验的积累，整合了具有国际一流水准的关键人才选用育留的实施方案以及相应的实施流程，工具和方法，精心打造兼具策略性和实用性的课程，将帮助您的企业解决以上难题。</w:t>
      </w:r>
    </w:p>
    <w:p w:rsidR="00463788" w:rsidRPr="00A07F12" w:rsidRDefault="00B04A75">
      <w:pPr>
        <w:spacing w:line="420" w:lineRule="exact"/>
        <w:ind w:firstLine="420"/>
        <w:rPr>
          <w:rFonts w:asciiTheme="minorEastAsia" w:hAnsiTheme="minorEastAsia" w:cs="黑体"/>
          <w:bCs/>
          <w:sz w:val="21"/>
          <w:szCs w:val="21"/>
        </w:rPr>
      </w:pPr>
      <w:r w:rsidRPr="00A07F12">
        <w:rPr>
          <w:rFonts w:asciiTheme="minorEastAsia" w:hAnsiTheme="minorEastAsia" w:cs="黑体" w:hint="eastAsia"/>
          <w:bCs/>
          <w:sz w:val="21"/>
          <w:szCs w:val="21"/>
        </w:rPr>
        <w:t xml:space="preserve">新经济来了，无论是互联网+、工业4.0、资本运营还是阿米巴和股权激励等企业的转型变革背后，大家逐渐发现成功的最关键要素还是人才，尤其是关键人才（这是原点）。然而，在新时代下，尽管老板们读了很多“总裁班”，高管们接受了多轮领导力训练，HR们在不断改进公司的人才体系和制度，但对关键人才的管理不但没有改善反而更加严峻：优秀人才越来越难招，越来越难管；好不容易培养的优秀人才也要辞职创业、另立门户。。。。。。关键人才越来越重要，但传统管理对8090后们越来越无效。本课程讲师曾在飞利浦、诺基亚、麦当劳等外企工作多年，给很多内资企业和高校分享过这些“先进”的“管人”工具，但几年下来我发现除了掌声和羡慕的眼光外，真正能运用到的中小企业却很少——不全是HR不很专业而是中小企业的管理基础和职业经理人的素质差距太大。我们也逐渐发现：一些并没有很好管理的“土鳖”公司却和知名外企具有同样的管理效能！用简单的方法就能搞定人才，搞定关键人才！ 同样也能把业务做得风生水起。“关键人才管理新模式”以传统人才管理的精髓为基础结合先进“土鳖”公司方法，让我们中小企业的老板、高管和HR们更加有效、更加容易搞定关键人才。 </w:t>
      </w:r>
    </w:p>
    <w:p w:rsidR="00463788" w:rsidRPr="00A07F12" w:rsidRDefault="00B04A75">
      <w:pPr>
        <w:spacing w:line="420" w:lineRule="exact"/>
        <w:ind w:firstLine="420"/>
        <w:rPr>
          <w:rFonts w:asciiTheme="minorEastAsia" w:hAnsiTheme="minorEastAsia"/>
          <w:bCs/>
          <w:sz w:val="21"/>
          <w:szCs w:val="21"/>
        </w:rPr>
      </w:pPr>
      <w:r w:rsidRPr="00A07F12">
        <w:rPr>
          <w:rFonts w:asciiTheme="minorEastAsia" w:hAnsiTheme="minorEastAsia" w:cs="黑体" w:hint="eastAsia"/>
          <w:bCs/>
          <w:sz w:val="21"/>
          <w:szCs w:val="21"/>
        </w:rPr>
        <w:t xml:space="preserve"> 当前的人才竞争，不再是简单的人才争夺战，而是人才管理文化的竞争，即管理制度和管理理念的竞争。</w:t>
      </w:r>
      <w:r w:rsidRPr="00A07F12">
        <w:rPr>
          <w:rFonts w:asciiTheme="minorEastAsia" w:hAnsiTheme="minorEastAsia" w:cs="黑体" w:hint="eastAsia"/>
          <w:bCs/>
          <w:sz w:val="21"/>
          <w:szCs w:val="21"/>
        </w:rPr>
        <w:lastRenderedPageBreak/>
        <w:t>如果关键人才的培养和管理无章可循，就会成为制约企业持续发展的瓶颈。关键人才的产生需要靠制度保证，没有制度规范，无法吸引人才，更无法激励人才发挥作用。关键人才对企业战略的实施起着决定性作用。通过有效的人才管理，公司的领导层将有机会关注整个组织的强项和发展需求以及为实现战略实施和驱动增长所需要的个人能力，并能提供关键人才具有挑战性和高回报的与公司共同成长的职业经历，为企业和个人带来双赢。</w:t>
      </w:r>
    </w:p>
    <w:p w:rsidR="00463788" w:rsidRDefault="00463788">
      <w:pPr>
        <w:spacing w:line="420" w:lineRule="exact"/>
        <w:ind w:firstLine="420"/>
        <w:rPr>
          <w:rFonts w:ascii="宋体" w:hAnsi="宋体"/>
          <w:bCs/>
          <w:szCs w:val="21"/>
        </w:rPr>
      </w:pPr>
    </w:p>
    <w:p w:rsidR="004E14D0" w:rsidRPr="007955D7" w:rsidRDefault="007955D7" w:rsidP="007955D7">
      <w:pPr>
        <w:spacing w:line="420" w:lineRule="exact"/>
        <w:rPr>
          <w:rFonts w:ascii="微软雅黑" w:eastAsia="微软雅黑" w:hAnsi="微软雅黑" w:hint="eastAsia"/>
          <w:b/>
          <w:bCs/>
          <w:color w:val="0000FF"/>
          <w:sz w:val="28"/>
          <w:szCs w:val="28"/>
        </w:rPr>
      </w:pPr>
      <w:r w:rsidRPr="007955D7">
        <w:rPr>
          <w:rFonts w:ascii="微软雅黑" w:eastAsia="微软雅黑" w:hAnsi="微软雅黑" w:hint="eastAsia"/>
          <w:b/>
          <w:bCs/>
          <w:color w:val="0000FF"/>
          <w:sz w:val="28"/>
          <w:szCs w:val="28"/>
        </w:rPr>
        <w:t>课程收益：</w:t>
      </w:r>
    </w:p>
    <w:p w:rsidR="00463788" w:rsidRPr="00A07F12" w:rsidRDefault="00B04A75">
      <w:pPr>
        <w:rPr>
          <w:rFonts w:asciiTheme="minorEastAsia" w:hAnsiTheme="minorEastAsia"/>
          <w:sz w:val="21"/>
          <w:szCs w:val="21"/>
        </w:rPr>
      </w:pPr>
      <w:r w:rsidRPr="00A07F12">
        <w:rPr>
          <w:rFonts w:asciiTheme="minorEastAsia" w:hAnsiTheme="minorEastAsia" w:hint="eastAsia"/>
          <w:sz w:val="21"/>
          <w:szCs w:val="21"/>
        </w:rPr>
        <w:t>---系统掌握新经济新时代下关键人才管理体系设计的新模式</w:t>
      </w:r>
    </w:p>
    <w:p w:rsidR="00463788" w:rsidRPr="00A07F12" w:rsidRDefault="00B04A75">
      <w:pPr>
        <w:rPr>
          <w:rFonts w:asciiTheme="minorEastAsia" w:hAnsiTheme="minorEastAsia"/>
          <w:sz w:val="21"/>
          <w:szCs w:val="21"/>
        </w:rPr>
      </w:pPr>
      <w:r w:rsidRPr="00A07F12">
        <w:rPr>
          <w:rFonts w:asciiTheme="minorEastAsia" w:hAnsiTheme="minorEastAsia" w:hint="eastAsia"/>
          <w:sz w:val="21"/>
          <w:szCs w:val="21"/>
        </w:rPr>
        <w:t>---深刻理解关键人才管理的意义</w:t>
      </w:r>
    </w:p>
    <w:p w:rsidR="00463788" w:rsidRPr="00A07F12" w:rsidRDefault="00B04A75">
      <w:pPr>
        <w:rPr>
          <w:rFonts w:asciiTheme="minorEastAsia" w:hAnsiTheme="minorEastAsia"/>
          <w:sz w:val="21"/>
          <w:szCs w:val="21"/>
        </w:rPr>
      </w:pPr>
      <w:r w:rsidRPr="00A07F12">
        <w:rPr>
          <w:rFonts w:asciiTheme="minorEastAsia" w:hAnsiTheme="minorEastAsia" w:hint="eastAsia"/>
          <w:sz w:val="21"/>
          <w:szCs w:val="21"/>
        </w:rPr>
        <w:t>---了解关键人才的定义和特征</w:t>
      </w:r>
    </w:p>
    <w:p w:rsidR="00463788" w:rsidRPr="00A07F12" w:rsidRDefault="00B04A75">
      <w:pPr>
        <w:rPr>
          <w:rFonts w:asciiTheme="minorEastAsia" w:hAnsiTheme="minorEastAsia"/>
          <w:sz w:val="21"/>
          <w:szCs w:val="21"/>
        </w:rPr>
      </w:pPr>
      <w:r w:rsidRPr="00A07F12">
        <w:rPr>
          <w:rFonts w:asciiTheme="minorEastAsia" w:hAnsiTheme="minorEastAsia" w:hint="eastAsia"/>
          <w:sz w:val="21"/>
          <w:szCs w:val="21"/>
        </w:rPr>
        <w:t>---掌握关键人才管理选用育留各环节的原理、流程与方法</w:t>
      </w:r>
    </w:p>
    <w:p w:rsidR="00463788" w:rsidRPr="00A07F12" w:rsidRDefault="00B04A75">
      <w:pPr>
        <w:rPr>
          <w:rFonts w:asciiTheme="minorEastAsia" w:hAnsiTheme="minorEastAsia"/>
          <w:sz w:val="21"/>
          <w:szCs w:val="21"/>
        </w:rPr>
      </w:pPr>
      <w:r w:rsidRPr="00A07F12">
        <w:rPr>
          <w:rFonts w:asciiTheme="minorEastAsia" w:hAnsiTheme="minorEastAsia" w:hint="eastAsia"/>
          <w:sz w:val="21"/>
          <w:szCs w:val="21"/>
        </w:rPr>
        <w:t>---了解关键人才管理最佳实践，规避实施风险</w:t>
      </w:r>
    </w:p>
    <w:p w:rsidR="004E14D0" w:rsidRPr="007955D7" w:rsidRDefault="00B04A75">
      <w:pPr>
        <w:rPr>
          <w:rFonts w:asciiTheme="minorEastAsia" w:hAnsiTheme="minorEastAsia"/>
          <w:sz w:val="21"/>
          <w:szCs w:val="21"/>
        </w:rPr>
      </w:pPr>
      <w:r w:rsidRPr="00A07F12">
        <w:rPr>
          <w:rFonts w:asciiTheme="minorEastAsia" w:hAnsiTheme="minorEastAsia" w:hint="eastAsia"/>
          <w:sz w:val="21"/>
          <w:szCs w:val="21"/>
        </w:rPr>
        <w:t>......</w:t>
      </w:r>
    </w:p>
    <w:p w:rsidR="004E14D0" w:rsidRDefault="004E14D0">
      <w:pPr>
        <w:spacing w:line="420" w:lineRule="exact"/>
      </w:pPr>
    </w:p>
    <w:p w:rsidR="004E14D0" w:rsidRPr="007955D7" w:rsidRDefault="007955D7">
      <w:pPr>
        <w:spacing w:line="420" w:lineRule="exact"/>
        <w:rPr>
          <w:rFonts w:ascii="微软雅黑" w:eastAsia="微软雅黑" w:hAnsi="微软雅黑" w:hint="eastAsia"/>
          <w:b/>
          <w:color w:val="0000FF"/>
          <w:sz w:val="28"/>
          <w:szCs w:val="28"/>
        </w:rPr>
      </w:pPr>
      <w:r w:rsidRPr="007955D7">
        <w:rPr>
          <w:rFonts w:ascii="微软雅黑" w:eastAsia="微软雅黑" w:hAnsi="微软雅黑" w:hint="eastAsia"/>
          <w:b/>
          <w:color w:val="0000FF"/>
          <w:sz w:val="28"/>
          <w:szCs w:val="28"/>
        </w:rPr>
        <w:t>课程大纲：</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一、新经济新时代下的关键人才管理，学习麦当劳还是夫妻店？</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1、案例分享：新经济下，关键人才还是企业成功最关键的要素</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2、新时代下，传统的人才管理越来越无效</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3、新经济新时代下，关键人才管理优秀案例分析</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4、关键人才管理新模式的5大步骤以及与阿米巴、股权激励和合伙人机制的区别</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5、关键人才管理新模式下，老板、高管和HR的职责定位</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二、第一步：确定关键岗位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1、定义关键岗位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2、确定关键岗位的4步骤</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3、步骤1：理清商业模式和发展策略</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4、步骤2：分析流程价值链</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5、步骤3：分析关键成功要素</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6、步骤4：评估关键岗位；工具表格：《关键岗位评估表》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7、课题讨论：如何减少关键岗位，降低对关键人才的依赖</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三、第二步：找到优秀人才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1、定义优秀人才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2、找到优秀人才的3步骤3机制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3、步骤1：关键岗位人才盘点和规划；表格：《关键人才盘点、调整和规划表》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4、步骤2：关键岗位人才调整和选拔；表格：《关键人才盘点、调整和规划表》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5、步骤3：优秀人才的招募和评估；表格：《关键人才面试评估表》、《入职薪酬谈判表》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6、建立对管理者考评关键人才合格率机制、合伙人选拔机制、股权激励机制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lastRenderedPageBreak/>
        <w:t>7、案例分享：1）麦当劳人才盘点和规划 2）X民营企业人才盘点和规划 3）芬尼克兹的用人民币选项目总经理</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8、课堂练习：关键人才面试和评估</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四、第三步：发展关键人才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1、发展关键人才4步骤和2机制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2、步骤1：建立关键岗位胜任力模型工；工具：快速建模卡片</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3、步骤2：评估关键人才胜任力差距；工具：胜任力评估线上免费工具</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4、步骤3：制定关键人才发展计划：表格；关键人才发展计划和跟进表”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5、步骤4：实施关键人才发展计划：表格；“关键人才发展计划和跟进表”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6、建立激励关键人才发展的晋升机制和合伙人机制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7、案例分享：”麦当劳人才发展方案“、”X民营企业的人才发展方案“</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五、第四步：建立关键人才梯队</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1、建立关键人才梯队的5步骤和2机制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2、步骤1：确定关键岗位和胜任力模型；工具；快速建模卡片</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3、步骤2：遴选梯队人才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4、步骤3：评估梯队人选胜任力差距：工具；胜任力评估线上免费工具</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5、步骤4：制定梯队人员的发展计划；表格；“关键人才发展计划和跟进表”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6、步骤5：实施梯队人员的发展计划；表格；“关键人才发展计划和跟进表”</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7、制定激励发展下属的绩效考核机制和利益捆绑机制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8、案例分享：麦当劳人才供应链、X民企的关键人才梯队建设、X民企的复制店长方案</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六、第五步：管控关键人才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1、管控关键人才的常规套路：工作计划、绩效考核和奖惩制度</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2、”失控”关键人才的新模式</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3、阿米巴和小组制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4、合伙人机制和股权激励</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5、案例分享：海尔的内部创客、芬尼克兹的裂变式创业、X民企的门店合伙人机制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6、课堂练习：制定你的关键人才管控/失控方案</w:t>
      </w:r>
    </w:p>
    <w:p w:rsidR="00463788" w:rsidRPr="007955D7" w:rsidRDefault="00B04A75">
      <w:pPr>
        <w:spacing w:line="420" w:lineRule="exact"/>
        <w:rPr>
          <w:rFonts w:asciiTheme="minorEastAsia" w:hAnsiTheme="minorEastAsia"/>
          <w:b/>
          <w:bCs/>
          <w:sz w:val="21"/>
          <w:szCs w:val="21"/>
        </w:rPr>
      </w:pPr>
      <w:r w:rsidRPr="007955D7">
        <w:rPr>
          <w:rFonts w:asciiTheme="minorEastAsia" w:hAnsiTheme="minorEastAsia" w:hint="eastAsia"/>
          <w:b/>
          <w:bCs/>
          <w:sz w:val="21"/>
          <w:szCs w:val="21"/>
        </w:rPr>
        <w:t>七、第六步骤：激励和保留关键人才</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1、激励和保留关键人才的常规套路：及时激励、领导魅力、薪酬福利和职业发展</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2、保留关键人才的新模式</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3、内、外部合伙制</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4、 股权激励</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5、案例分享：芬尼克兹、华为、步步高、X门店零售连锁企业、X美妆服务行业</w:t>
      </w:r>
    </w:p>
    <w:p w:rsidR="00463788" w:rsidRPr="00A07F12" w:rsidRDefault="00B04A75">
      <w:pPr>
        <w:spacing w:line="420" w:lineRule="exact"/>
        <w:rPr>
          <w:rFonts w:asciiTheme="minorEastAsia" w:hAnsiTheme="minorEastAsia"/>
          <w:bCs/>
          <w:sz w:val="21"/>
          <w:szCs w:val="21"/>
        </w:rPr>
      </w:pPr>
      <w:r w:rsidRPr="00A07F12">
        <w:rPr>
          <w:rFonts w:asciiTheme="minorEastAsia" w:hAnsiTheme="minorEastAsia" w:hint="eastAsia"/>
          <w:bCs/>
          <w:sz w:val="21"/>
          <w:szCs w:val="21"/>
        </w:rPr>
        <w:t>6、课堂练习：制定你的关键人才保留方案</w:t>
      </w:r>
    </w:p>
    <w:p w:rsidR="00463788" w:rsidRPr="00A07F12" w:rsidRDefault="00463788" w:rsidP="007955D7">
      <w:pPr>
        <w:rPr>
          <w:rFonts w:asciiTheme="minorEastAsia" w:hAnsiTheme="minorEastAsia" w:cstheme="majorEastAsia"/>
          <w:sz w:val="21"/>
          <w:szCs w:val="21"/>
        </w:rPr>
      </w:pPr>
    </w:p>
    <w:p w:rsidR="00463788" w:rsidRDefault="00463788">
      <w:pPr>
        <w:widowControl/>
        <w:adjustRightInd w:val="0"/>
        <w:snapToGrid w:val="0"/>
        <w:jc w:val="left"/>
        <w:rPr>
          <w:rFonts w:ascii="宋体" w:hAnsi="宋体"/>
          <w:b/>
          <w:szCs w:val="21"/>
        </w:rPr>
      </w:pPr>
    </w:p>
    <w:p w:rsidR="00463788" w:rsidRDefault="00B04A75">
      <w:pPr>
        <w:widowControl/>
        <w:adjustRightInd w:val="0"/>
        <w:snapToGrid w:val="0"/>
        <w:jc w:val="left"/>
        <w:rPr>
          <w:rFonts w:ascii="宋体" w:hAnsi="宋体"/>
          <w:szCs w:val="21"/>
        </w:rPr>
      </w:pPr>
      <w:r>
        <w:rPr>
          <w:rFonts w:ascii="宋体" w:hAnsi="宋体" w:hint="eastAsia"/>
          <w:b/>
          <w:szCs w:val="21"/>
        </w:rPr>
        <w:t>《</w:t>
      </w:r>
      <w:r>
        <w:rPr>
          <w:rFonts w:ascii="宋体" w:hAnsi="宋体" w:hint="eastAsia"/>
          <w:b/>
          <w:bCs/>
        </w:rPr>
        <w:t>报名回执表》如下：</w:t>
      </w:r>
      <w:r>
        <w:rPr>
          <w:rFonts w:ascii="宋体" w:hAnsi="宋体" w:hint="eastAsia"/>
          <w:szCs w:val="21"/>
        </w:rPr>
        <w:t>---------------------------------------------------------------------------------</w:t>
      </w:r>
    </w:p>
    <w:p w:rsidR="00463788" w:rsidRDefault="00B04A75">
      <w:pPr>
        <w:widowControl/>
        <w:adjustRightInd w:val="0"/>
        <w:snapToGrid w:val="0"/>
        <w:jc w:val="center"/>
        <w:rPr>
          <w:rFonts w:ascii="Calibri" w:eastAsia="黑体" w:hAnsi="Calibri" w:cs="宋体"/>
          <w:b/>
          <w:bCs/>
          <w:w w:val="110"/>
          <w:kern w:val="0"/>
          <w:sz w:val="36"/>
          <w:szCs w:val="48"/>
        </w:rPr>
      </w:pPr>
      <w:r>
        <w:rPr>
          <w:rFonts w:ascii="黑体" w:eastAsia="黑体" w:hAnsi="Gungsuh" w:cs="宋体" w:hint="eastAsia"/>
          <w:b/>
          <w:bCs/>
          <w:w w:val="110"/>
          <w:kern w:val="0"/>
          <w:sz w:val="36"/>
          <w:szCs w:val="48"/>
        </w:rPr>
        <w:t>报名回执表</w:t>
      </w:r>
    </w:p>
    <w:p w:rsidR="00463788" w:rsidRDefault="00B04A75">
      <w:pPr>
        <w:widowControl/>
        <w:adjustRightInd w:val="0"/>
        <w:snapToGrid w:val="0"/>
        <w:ind w:left="2465" w:hangingChars="1027" w:hanging="2465"/>
        <w:jc w:val="center"/>
        <w:rPr>
          <w:rFonts w:ascii="宋体" w:hAnsi="宋体"/>
          <w:sz w:val="21"/>
          <w:szCs w:val="21"/>
        </w:rPr>
      </w:pPr>
      <w:r>
        <w:rPr>
          <w:rFonts w:ascii="宋体" w:hAnsi="宋体" w:cs="宋体" w:hint="eastAsia"/>
          <w:bCs/>
          <w:kern w:val="0"/>
          <w:szCs w:val="21"/>
        </w:rPr>
        <w:t>回执请发到：</w:t>
      </w:r>
      <w:hyperlink r:id="rId8" w:history="1">
        <w:r w:rsidR="007955D7" w:rsidRPr="0052445B">
          <w:rPr>
            <w:rStyle w:val="a7"/>
            <w:rFonts w:ascii="宋体" w:hAnsi="宋体" w:hint="eastAsia"/>
            <w:sz w:val="21"/>
          </w:rPr>
          <w:t>320588808@vip.qq.com</w:t>
        </w:r>
      </w:hyperlink>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1400"/>
        <w:gridCol w:w="1535"/>
        <w:gridCol w:w="603"/>
        <w:gridCol w:w="1300"/>
        <w:gridCol w:w="2184"/>
        <w:gridCol w:w="1214"/>
        <w:gridCol w:w="2194"/>
      </w:tblGrid>
      <w:tr w:rsidR="00463788" w:rsidRPr="00A07F12">
        <w:trPr>
          <w:trHeight w:val="923"/>
          <w:jc w:val="center"/>
        </w:trPr>
        <w:tc>
          <w:tcPr>
            <w:tcW w:w="10430" w:type="dxa"/>
            <w:gridSpan w:val="7"/>
            <w:tcMar>
              <w:top w:w="227" w:type="dxa"/>
              <w:left w:w="113" w:type="dxa"/>
              <w:bottom w:w="170" w:type="dxa"/>
              <w:right w:w="113" w:type="dxa"/>
            </w:tcMar>
            <w:vAlign w:val="center"/>
          </w:tcPr>
          <w:p w:rsidR="00463788" w:rsidRPr="00A07F12" w:rsidRDefault="00B04A75">
            <w:pPr>
              <w:spacing w:line="420" w:lineRule="exact"/>
              <w:rPr>
                <w:rFonts w:asciiTheme="minorEastAsia" w:hAnsiTheme="minorEastAsia" w:cs="宋体"/>
                <w:kern w:val="0"/>
                <w:sz w:val="21"/>
                <w:szCs w:val="21"/>
              </w:rPr>
            </w:pPr>
            <w:r w:rsidRPr="00A07F12">
              <w:rPr>
                <w:rFonts w:asciiTheme="minorEastAsia" w:hAnsiTheme="minorEastAsia" w:hint="eastAsia"/>
                <w:color w:val="000000"/>
                <w:sz w:val="21"/>
                <w:szCs w:val="21"/>
              </w:rPr>
              <w:t xml:space="preserve">     我单位共 </w:t>
            </w:r>
            <w:r w:rsidRPr="00A07F12">
              <w:rPr>
                <w:rFonts w:asciiTheme="minorEastAsia" w:hAnsiTheme="minorEastAsia" w:hint="eastAsia"/>
                <w:color w:val="000000"/>
                <w:sz w:val="21"/>
                <w:szCs w:val="21"/>
                <w:u w:val="single"/>
              </w:rPr>
              <w:t>___</w:t>
            </w:r>
            <w:r w:rsidRPr="00A07F12">
              <w:rPr>
                <w:rFonts w:asciiTheme="minorEastAsia" w:hAnsiTheme="minorEastAsia" w:hint="eastAsia"/>
                <w:color w:val="000000"/>
                <w:sz w:val="21"/>
                <w:szCs w:val="21"/>
              </w:rPr>
              <w:t xml:space="preserve"> 人确定报名参加 2016年</w:t>
            </w:r>
            <w:r w:rsidRPr="00A07F12">
              <w:rPr>
                <w:rFonts w:asciiTheme="minorEastAsia" w:hAnsiTheme="minorEastAsia" w:hint="eastAsia"/>
                <w:color w:val="000000"/>
                <w:sz w:val="21"/>
                <w:szCs w:val="21"/>
                <w:u w:val="single"/>
              </w:rPr>
              <w:t>___</w:t>
            </w:r>
            <w:r w:rsidRPr="00A07F12">
              <w:rPr>
                <w:rFonts w:asciiTheme="minorEastAsia" w:hAnsiTheme="minorEastAsia" w:hint="eastAsia"/>
                <w:color w:val="000000"/>
                <w:sz w:val="21"/>
                <w:szCs w:val="21"/>
              </w:rPr>
              <w:t xml:space="preserve"> 月</w:t>
            </w:r>
            <w:r w:rsidRPr="00A07F12">
              <w:rPr>
                <w:rFonts w:asciiTheme="minorEastAsia" w:hAnsiTheme="minorEastAsia" w:hint="eastAsia"/>
                <w:color w:val="000000"/>
                <w:sz w:val="21"/>
                <w:szCs w:val="21"/>
                <w:u w:val="single"/>
              </w:rPr>
              <w:t xml:space="preserve">____ </w:t>
            </w:r>
            <w:r w:rsidRPr="00A07F12">
              <w:rPr>
                <w:rFonts w:asciiTheme="minorEastAsia" w:hAnsiTheme="minorEastAsia" w:hint="eastAsia"/>
                <w:color w:val="000000"/>
                <w:sz w:val="21"/>
                <w:szCs w:val="21"/>
              </w:rPr>
              <w:t xml:space="preserve">日在 </w:t>
            </w:r>
            <w:r w:rsidRPr="00A07F12">
              <w:rPr>
                <w:rFonts w:asciiTheme="minorEastAsia" w:hAnsiTheme="minorEastAsia" w:hint="eastAsia"/>
                <w:color w:val="000000"/>
                <w:sz w:val="21"/>
                <w:szCs w:val="21"/>
                <w:u w:val="single"/>
              </w:rPr>
              <w:t>__</w:t>
            </w:r>
            <w:r w:rsidRPr="00A07F12">
              <w:rPr>
                <w:rFonts w:asciiTheme="minorEastAsia" w:hAnsiTheme="minorEastAsia" w:hint="eastAsia"/>
                <w:color w:val="000000"/>
                <w:sz w:val="21"/>
                <w:szCs w:val="21"/>
                <w:u w:val="single"/>
              </w:rPr>
              <w:softHyphen/>
              <w:t>___</w:t>
            </w:r>
            <w:r w:rsidRPr="00A07F12">
              <w:rPr>
                <w:rFonts w:asciiTheme="minorEastAsia" w:hAnsiTheme="minorEastAsia" w:hint="eastAsia"/>
                <w:color w:val="000000"/>
                <w:sz w:val="21"/>
                <w:szCs w:val="21"/>
              </w:rPr>
              <w:t xml:space="preserve"> 举办的《</w:t>
            </w:r>
            <w:r w:rsidRPr="00A07F12">
              <w:rPr>
                <w:rFonts w:asciiTheme="minorEastAsia" w:hAnsiTheme="minorEastAsia" w:cs="新宋体" w:hint="eastAsia"/>
                <w:bCs/>
                <w:sz w:val="21"/>
                <w:szCs w:val="21"/>
              </w:rPr>
              <w:t>企业关键人才管理体系设计新模式</w:t>
            </w:r>
            <w:r w:rsidRPr="00A07F12">
              <w:rPr>
                <w:rFonts w:asciiTheme="minorEastAsia" w:hAnsiTheme="minorEastAsia" w:hint="eastAsia"/>
                <w:bCs/>
                <w:color w:val="000000"/>
                <w:sz w:val="21"/>
                <w:szCs w:val="21"/>
              </w:rPr>
              <w:t>》</w:t>
            </w:r>
            <w:r w:rsidRPr="00A07F12">
              <w:rPr>
                <w:rFonts w:asciiTheme="minorEastAsia" w:hAnsiTheme="minorEastAsia" w:hint="eastAsia"/>
                <w:color w:val="000000"/>
                <w:sz w:val="21"/>
                <w:szCs w:val="21"/>
              </w:rPr>
              <w:t>培训班。</w:t>
            </w:r>
          </w:p>
        </w:tc>
      </w:tr>
      <w:tr w:rsidR="00463788" w:rsidRPr="00A07F12">
        <w:trPr>
          <w:trHeight w:val="371"/>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单位</w:t>
            </w:r>
            <w:r w:rsidRPr="00A07F12">
              <w:rPr>
                <w:rFonts w:asciiTheme="minorEastAsia" w:hAnsiTheme="minorEastAsia" w:cs="宋体" w:hint="eastAsia"/>
                <w:kern w:val="0"/>
                <w:sz w:val="21"/>
                <w:szCs w:val="21"/>
              </w:rPr>
              <w:t>名称</w:t>
            </w:r>
          </w:p>
        </w:tc>
        <w:tc>
          <w:tcPr>
            <w:tcW w:w="9030" w:type="dxa"/>
            <w:gridSpan w:val="6"/>
            <w:vAlign w:val="center"/>
          </w:tcPr>
          <w:p w:rsidR="00463788" w:rsidRPr="00A07F12" w:rsidRDefault="00463788">
            <w:pPr>
              <w:widowControl/>
              <w:adjustRightInd w:val="0"/>
              <w:snapToGrid w:val="0"/>
              <w:rPr>
                <w:rFonts w:asciiTheme="minorEastAsia" w:hAnsiTheme="minorEastAsia" w:cs="宋体"/>
                <w:kern w:val="0"/>
                <w:sz w:val="21"/>
                <w:szCs w:val="21"/>
              </w:rPr>
            </w:pPr>
          </w:p>
        </w:tc>
      </w:tr>
      <w:tr w:rsidR="00463788" w:rsidRPr="00A07F12">
        <w:trPr>
          <w:trHeight w:val="399"/>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联系人</w:t>
            </w:r>
          </w:p>
        </w:tc>
        <w:tc>
          <w:tcPr>
            <w:tcW w:w="2138" w:type="dxa"/>
            <w:gridSpan w:val="2"/>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3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电 话</w:t>
            </w:r>
          </w:p>
        </w:tc>
        <w:tc>
          <w:tcPr>
            <w:tcW w:w="218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21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手 机</w:t>
            </w:r>
          </w:p>
        </w:tc>
        <w:tc>
          <w:tcPr>
            <w:tcW w:w="219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r>
      <w:tr w:rsidR="00463788" w:rsidRPr="00A07F12">
        <w:trPr>
          <w:trHeight w:val="371"/>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地 址</w:t>
            </w:r>
          </w:p>
        </w:tc>
        <w:tc>
          <w:tcPr>
            <w:tcW w:w="2138" w:type="dxa"/>
            <w:gridSpan w:val="2"/>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3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传 真</w:t>
            </w:r>
          </w:p>
        </w:tc>
        <w:tc>
          <w:tcPr>
            <w:tcW w:w="218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21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E-mail</w:t>
            </w:r>
          </w:p>
        </w:tc>
        <w:tc>
          <w:tcPr>
            <w:tcW w:w="219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r>
      <w:tr w:rsidR="00463788" w:rsidRPr="00A07F12">
        <w:trPr>
          <w:trHeight w:val="399"/>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序号</w:t>
            </w:r>
          </w:p>
        </w:tc>
        <w:tc>
          <w:tcPr>
            <w:tcW w:w="1535"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参会人员</w:t>
            </w:r>
          </w:p>
        </w:tc>
        <w:tc>
          <w:tcPr>
            <w:tcW w:w="603"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性 别</w:t>
            </w:r>
          </w:p>
        </w:tc>
        <w:tc>
          <w:tcPr>
            <w:tcW w:w="13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部门/职务</w:t>
            </w:r>
          </w:p>
        </w:tc>
        <w:tc>
          <w:tcPr>
            <w:tcW w:w="218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联络手机</w:t>
            </w:r>
          </w:p>
        </w:tc>
        <w:tc>
          <w:tcPr>
            <w:tcW w:w="121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金 额</w:t>
            </w:r>
          </w:p>
        </w:tc>
        <w:tc>
          <w:tcPr>
            <w:tcW w:w="219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合 计</w:t>
            </w:r>
          </w:p>
        </w:tc>
      </w:tr>
      <w:tr w:rsidR="00463788" w:rsidRPr="00A07F12">
        <w:trPr>
          <w:trHeight w:val="371"/>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1</w:t>
            </w:r>
          </w:p>
        </w:tc>
        <w:tc>
          <w:tcPr>
            <w:tcW w:w="1535"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603"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300"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8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21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94" w:type="dxa"/>
            <w:vMerge w:val="restart"/>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r>
      <w:tr w:rsidR="00463788" w:rsidRPr="00A07F12">
        <w:trPr>
          <w:trHeight w:val="399"/>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2</w:t>
            </w:r>
          </w:p>
        </w:tc>
        <w:tc>
          <w:tcPr>
            <w:tcW w:w="1535"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603"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300"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8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21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94" w:type="dxa"/>
            <w:vMerge/>
            <w:vAlign w:val="center"/>
          </w:tcPr>
          <w:p w:rsidR="00463788" w:rsidRPr="00A07F12" w:rsidRDefault="00463788">
            <w:pPr>
              <w:widowControl/>
              <w:adjustRightInd w:val="0"/>
              <w:snapToGrid w:val="0"/>
              <w:rPr>
                <w:rFonts w:asciiTheme="minorEastAsia" w:hAnsiTheme="minorEastAsia" w:cs="宋体"/>
                <w:kern w:val="0"/>
                <w:sz w:val="21"/>
                <w:szCs w:val="21"/>
              </w:rPr>
            </w:pPr>
          </w:p>
        </w:tc>
      </w:tr>
      <w:tr w:rsidR="00463788" w:rsidRPr="00A07F12">
        <w:trPr>
          <w:trHeight w:val="371"/>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3</w:t>
            </w:r>
          </w:p>
        </w:tc>
        <w:tc>
          <w:tcPr>
            <w:tcW w:w="1535"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603"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300"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8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1214" w:type="dxa"/>
            <w:vAlign w:val="center"/>
          </w:tcPr>
          <w:p w:rsidR="00463788" w:rsidRPr="00A07F12" w:rsidRDefault="00463788">
            <w:pPr>
              <w:widowControl/>
              <w:adjustRightInd w:val="0"/>
              <w:snapToGrid w:val="0"/>
              <w:jc w:val="center"/>
              <w:rPr>
                <w:rFonts w:asciiTheme="minorEastAsia" w:hAnsiTheme="minorEastAsia" w:cs="宋体"/>
                <w:kern w:val="0"/>
                <w:sz w:val="21"/>
                <w:szCs w:val="21"/>
              </w:rPr>
            </w:pPr>
          </w:p>
        </w:tc>
        <w:tc>
          <w:tcPr>
            <w:tcW w:w="2194" w:type="dxa"/>
            <w:vMerge/>
            <w:vAlign w:val="center"/>
          </w:tcPr>
          <w:p w:rsidR="00463788" w:rsidRPr="00A07F12" w:rsidRDefault="00463788">
            <w:pPr>
              <w:widowControl/>
              <w:adjustRightInd w:val="0"/>
              <w:snapToGrid w:val="0"/>
              <w:rPr>
                <w:rFonts w:asciiTheme="minorEastAsia" w:hAnsiTheme="minorEastAsia" w:cs="宋体"/>
                <w:kern w:val="0"/>
                <w:sz w:val="21"/>
                <w:szCs w:val="21"/>
              </w:rPr>
            </w:pPr>
          </w:p>
        </w:tc>
      </w:tr>
      <w:tr w:rsidR="00463788" w:rsidRPr="00A07F12">
        <w:trPr>
          <w:trHeight w:val="399"/>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kern w:val="0"/>
                <w:sz w:val="21"/>
                <w:szCs w:val="21"/>
              </w:rPr>
              <w:t>缴费方式</w:t>
            </w:r>
          </w:p>
        </w:tc>
        <w:tc>
          <w:tcPr>
            <w:tcW w:w="5622" w:type="dxa"/>
            <w:gridSpan w:val="4"/>
            <w:vAlign w:val="center"/>
          </w:tcPr>
          <w:p w:rsidR="00463788" w:rsidRPr="00A07F12" w:rsidRDefault="00B04A75">
            <w:pPr>
              <w:widowControl/>
              <w:adjustRightInd w:val="0"/>
              <w:snapToGrid w:val="0"/>
              <w:rPr>
                <w:rFonts w:asciiTheme="minorEastAsia" w:hAnsiTheme="minorEastAsia" w:cs="宋体"/>
                <w:kern w:val="0"/>
                <w:sz w:val="21"/>
                <w:szCs w:val="21"/>
              </w:rPr>
            </w:pPr>
            <w:r w:rsidRPr="00A07F12">
              <w:rPr>
                <w:rFonts w:asciiTheme="minorEastAsia" w:hAnsiTheme="minorEastAsia" w:cs="宋体"/>
                <w:kern w:val="0"/>
                <w:sz w:val="21"/>
                <w:szCs w:val="21"/>
              </w:rPr>
              <w:t>   □转帐□现金</w:t>
            </w:r>
            <w:r w:rsidRPr="00A07F12">
              <w:rPr>
                <w:rFonts w:asciiTheme="minorEastAsia" w:hAnsiTheme="minorEastAsia" w:cs="宋体" w:hint="eastAsia"/>
                <w:kern w:val="0"/>
                <w:sz w:val="21"/>
                <w:szCs w:val="21"/>
              </w:rPr>
              <w:t xml:space="preserve">  （请选择 在</w:t>
            </w:r>
            <w:r w:rsidRPr="00A07F12">
              <w:rPr>
                <w:rFonts w:asciiTheme="minorEastAsia" w:hAnsiTheme="minorEastAsia" w:cs="宋体"/>
                <w:kern w:val="0"/>
                <w:sz w:val="21"/>
                <w:szCs w:val="21"/>
              </w:rPr>
              <w:t>□</w:t>
            </w:r>
            <w:r w:rsidRPr="00A07F12">
              <w:rPr>
                <w:rFonts w:asciiTheme="minorEastAsia" w:hAnsiTheme="minorEastAsia" w:cs="宋体" w:hint="eastAsia"/>
                <w:kern w:val="0"/>
                <w:sz w:val="21"/>
                <w:szCs w:val="21"/>
              </w:rPr>
              <w:t>打√）</w:t>
            </w:r>
          </w:p>
        </w:tc>
        <w:tc>
          <w:tcPr>
            <w:tcW w:w="1214"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hint="eastAsia"/>
                <w:kern w:val="0"/>
                <w:sz w:val="21"/>
                <w:szCs w:val="21"/>
              </w:rPr>
              <w:t>会员ID</w:t>
            </w:r>
          </w:p>
        </w:tc>
        <w:tc>
          <w:tcPr>
            <w:tcW w:w="2194" w:type="dxa"/>
            <w:vAlign w:val="center"/>
          </w:tcPr>
          <w:p w:rsidR="00463788" w:rsidRPr="00A07F12" w:rsidRDefault="00463788">
            <w:pPr>
              <w:widowControl/>
              <w:adjustRightInd w:val="0"/>
              <w:snapToGrid w:val="0"/>
              <w:rPr>
                <w:rFonts w:asciiTheme="minorEastAsia" w:hAnsiTheme="minorEastAsia" w:cs="宋体"/>
                <w:kern w:val="0"/>
                <w:sz w:val="21"/>
                <w:szCs w:val="21"/>
              </w:rPr>
            </w:pPr>
          </w:p>
        </w:tc>
      </w:tr>
      <w:tr w:rsidR="00463788" w:rsidRPr="00A07F12">
        <w:trPr>
          <w:trHeight w:val="399"/>
          <w:jc w:val="center"/>
        </w:trPr>
        <w:tc>
          <w:tcPr>
            <w:tcW w:w="1400" w:type="dxa"/>
            <w:vAlign w:val="center"/>
          </w:tcPr>
          <w:p w:rsidR="00463788" w:rsidRPr="00A07F12" w:rsidRDefault="00B04A75">
            <w:pPr>
              <w:widowControl/>
              <w:adjustRightInd w:val="0"/>
              <w:snapToGrid w:val="0"/>
              <w:jc w:val="center"/>
              <w:rPr>
                <w:rFonts w:asciiTheme="minorEastAsia" w:hAnsiTheme="minorEastAsia" w:cs="宋体"/>
                <w:kern w:val="0"/>
                <w:sz w:val="21"/>
                <w:szCs w:val="21"/>
              </w:rPr>
            </w:pPr>
            <w:r w:rsidRPr="00A07F12">
              <w:rPr>
                <w:rFonts w:asciiTheme="minorEastAsia" w:hAnsiTheme="minorEastAsia" w:cs="宋体" w:hint="eastAsia"/>
                <w:kern w:val="0"/>
                <w:sz w:val="21"/>
                <w:szCs w:val="21"/>
              </w:rPr>
              <w:t>住宿要求</w:t>
            </w:r>
          </w:p>
        </w:tc>
        <w:tc>
          <w:tcPr>
            <w:tcW w:w="9030" w:type="dxa"/>
            <w:gridSpan w:val="6"/>
            <w:vAlign w:val="center"/>
          </w:tcPr>
          <w:p w:rsidR="00463788" w:rsidRPr="00A07F12" w:rsidRDefault="00B04A75" w:rsidP="00A07F12">
            <w:pPr>
              <w:widowControl/>
              <w:adjustRightInd w:val="0"/>
              <w:snapToGrid w:val="0"/>
              <w:ind w:firstLineChars="100" w:firstLine="210"/>
              <w:rPr>
                <w:rFonts w:asciiTheme="minorEastAsia" w:hAnsiTheme="minorEastAsia" w:cs="宋体"/>
                <w:kern w:val="0"/>
                <w:sz w:val="21"/>
                <w:szCs w:val="21"/>
              </w:rPr>
            </w:pPr>
            <w:r w:rsidRPr="00A07F12">
              <w:rPr>
                <w:rFonts w:asciiTheme="minorEastAsia" w:hAnsiTheme="minorEastAsia" w:cs="宋体" w:hint="eastAsia"/>
                <w:kern w:val="0"/>
                <w:sz w:val="21"/>
                <w:szCs w:val="21"/>
              </w:rPr>
              <w:t>预定：双人房</w:t>
            </w:r>
            <w:r w:rsidRPr="00A07F12">
              <w:rPr>
                <w:rFonts w:asciiTheme="minorEastAsia" w:hAnsiTheme="minorEastAsia" w:cs="宋体" w:hint="eastAsia"/>
                <w:kern w:val="0"/>
                <w:sz w:val="21"/>
                <w:szCs w:val="21"/>
                <w:u w:val="single"/>
              </w:rPr>
              <w:t>___</w:t>
            </w:r>
            <w:r w:rsidRPr="00A07F12">
              <w:rPr>
                <w:rFonts w:asciiTheme="minorEastAsia" w:hAnsiTheme="minorEastAsia" w:cs="宋体" w:hint="eastAsia"/>
                <w:kern w:val="0"/>
                <w:sz w:val="21"/>
                <w:szCs w:val="21"/>
              </w:rPr>
              <w:t>间；单人房</w:t>
            </w:r>
            <w:r w:rsidRPr="00A07F12">
              <w:rPr>
                <w:rFonts w:asciiTheme="minorEastAsia" w:hAnsiTheme="minorEastAsia" w:cs="宋体" w:hint="eastAsia"/>
                <w:kern w:val="0"/>
                <w:sz w:val="21"/>
                <w:szCs w:val="21"/>
                <w:u w:val="single"/>
              </w:rPr>
              <w:t>___</w:t>
            </w:r>
            <w:r w:rsidRPr="00A07F12">
              <w:rPr>
                <w:rFonts w:asciiTheme="minorEastAsia" w:hAnsiTheme="minorEastAsia" w:cs="宋体" w:hint="eastAsia"/>
                <w:kern w:val="0"/>
                <w:sz w:val="21"/>
                <w:szCs w:val="21"/>
              </w:rPr>
              <w:t>间，住宿时间：</w:t>
            </w:r>
            <w:r w:rsidRPr="00A07F12">
              <w:rPr>
                <w:rFonts w:asciiTheme="minorEastAsia" w:hAnsiTheme="minorEastAsia" w:cs="宋体" w:hint="eastAsia"/>
                <w:kern w:val="0"/>
                <w:sz w:val="21"/>
                <w:szCs w:val="21"/>
                <w:u w:val="single"/>
              </w:rPr>
              <w:t>__</w:t>
            </w:r>
            <w:r w:rsidRPr="00A07F12">
              <w:rPr>
                <w:rFonts w:asciiTheme="minorEastAsia" w:hAnsiTheme="minorEastAsia" w:cs="宋体" w:hint="eastAsia"/>
                <w:kern w:val="0"/>
                <w:sz w:val="21"/>
                <w:szCs w:val="21"/>
              </w:rPr>
              <w:t xml:space="preserve"> 月 </w:t>
            </w:r>
            <w:r w:rsidRPr="00A07F12">
              <w:rPr>
                <w:rFonts w:asciiTheme="minorEastAsia" w:hAnsiTheme="minorEastAsia" w:cs="宋体" w:hint="eastAsia"/>
                <w:kern w:val="0"/>
                <w:sz w:val="21"/>
                <w:szCs w:val="21"/>
                <w:u w:val="single"/>
              </w:rPr>
              <w:t>__</w:t>
            </w:r>
            <w:r w:rsidRPr="00A07F12">
              <w:rPr>
                <w:rFonts w:asciiTheme="minorEastAsia" w:hAnsiTheme="minorEastAsia" w:cs="宋体" w:hint="eastAsia"/>
                <w:kern w:val="0"/>
                <w:sz w:val="21"/>
                <w:szCs w:val="21"/>
              </w:rPr>
              <w:t xml:space="preserve"> 至 </w:t>
            </w:r>
            <w:r w:rsidRPr="00A07F12">
              <w:rPr>
                <w:rFonts w:asciiTheme="minorEastAsia" w:hAnsiTheme="minorEastAsia" w:cs="宋体" w:hint="eastAsia"/>
                <w:kern w:val="0"/>
                <w:sz w:val="21"/>
                <w:szCs w:val="21"/>
                <w:u w:val="single"/>
              </w:rPr>
              <w:t>__</w:t>
            </w:r>
            <w:r w:rsidRPr="00A07F12">
              <w:rPr>
                <w:rFonts w:asciiTheme="minorEastAsia" w:hAnsiTheme="minorEastAsia" w:cs="宋体" w:hint="eastAsia"/>
                <w:kern w:val="0"/>
                <w:sz w:val="21"/>
                <w:szCs w:val="21"/>
              </w:rPr>
              <w:t xml:space="preserve"> 日</w:t>
            </w:r>
          </w:p>
          <w:p w:rsidR="00463788" w:rsidRPr="00A07F12" w:rsidRDefault="00B04A75" w:rsidP="00A07F12">
            <w:pPr>
              <w:widowControl/>
              <w:adjustRightInd w:val="0"/>
              <w:snapToGrid w:val="0"/>
              <w:ind w:firstLineChars="100" w:firstLine="210"/>
              <w:rPr>
                <w:rFonts w:asciiTheme="minorEastAsia" w:hAnsiTheme="minorEastAsia" w:cs="宋体"/>
                <w:kern w:val="0"/>
                <w:sz w:val="21"/>
                <w:szCs w:val="21"/>
              </w:rPr>
            </w:pPr>
            <w:r w:rsidRPr="00A07F12">
              <w:rPr>
                <w:rFonts w:asciiTheme="minorEastAsia" w:hAnsiTheme="minorEastAsia" w:cs="宋体" w:hint="eastAsia"/>
                <w:kern w:val="0"/>
                <w:sz w:val="21"/>
                <w:szCs w:val="21"/>
              </w:rPr>
              <w:t>(不用预定请留空)</w:t>
            </w:r>
          </w:p>
        </w:tc>
      </w:tr>
    </w:tbl>
    <w:p w:rsidR="00463788" w:rsidRPr="00A07F12" w:rsidRDefault="00463788">
      <w:pPr>
        <w:widowControl/>
        <w:adjustRightInd w:val="0"/>
        <w:snapToGrid w:val="0"/>
        <w:rPr>
          <w:rFonts w:asciiTheme="minorEastAsia" w:hAnsiTheme="minorEastAsia"/>
          <w:sz w:val="21"/>
          <w:szCs w:val="21"/>
        </w:rPr>
      </w:pPr>
    </w:p>
    <w:p w:rsidR="00463788" w:rsidRPr="00A07F12" w:rsidRDefault="00B04A75">
      <w:pPr>
        <w:widowControl/>
        <w:adjustRightInd w:val="0"/>
        <w:snapToGrid w:val="0"/>
        <w:rPr>
          <w:rFonts w:asciiTheme="minorEastAsia" w:hAnsiTheme="minorEastAsia"/>
          <w:sz w:val="21"/>
          <w:szCs w:val="21"/>
        </w:rPr>
      </w:pPr>
      <w:r w:rsidRPr="00A07F12">
        <w:rPr>
          <w:rFonts w:asciiTheme="minorEastAsia" w:hAnsiTheme="minorEastAsia" w:cs="宋体" w:hint="eastAsia"/>
          <w:kern w:val="0"/>
          <w:sz w:val="21"/>
          <w:szCs w:val="21"/>
          <w:lang w:val="zh-CN"/>
        </w:rPr>
        <w:t>此表所填信息仅用于招生工作，如需参加请填写回传给我们</w:t>
      </w:r>
      <w:r w:rsidRPr="00A07F12">
        <w:rPr>
          <w:rFonts w:asciiTheme="minorEastAsia" w:hAnsiTheme="minorEastAsia" w:hint="eastAsia"/>
          <w:sz w:val="21"/>
          <w:szCs w:val="21"/>
        </w:rPr>
        <w:t>，以便及时为您安排会务并发确认函，谢谢支持！</w:t>
      </w:r>
    </w:p>
    <w:p w:rsidR="00463788" w:rsidRPr="00A07F12" w:rsidRDefault="00B04A75" w:rsidP="00A07F12">
      <w:pPr>
        <w:pStyle w:val="a8"/>
        <w:rPr>
          <w:rFonts w:asciiTheme="minorEastAsia" w:eastAsiaTheme="minorEastAsia" w:hAnsiTheme="minorEastAsia"/>
          <w:sz w:val="21"/>
          <w:szCs w:val="21"/>
        </w:rPr>
      </w:pPr>
      <w:r w:rsidRPr="00A07F12">
        <w:rPr>
          <w:rFonts w:asciiTheme="minorEastAsia" w:eastAsiaTheme="minorEastAsia" w:hAnsiTheme="minorEastAsia" w:hint="eastAsia"/>
          <w:sz w:val="21"/>
          <w:szCs w:val="21"/>
        </w:rPr>
        <w:t>客服热线：</w:t>
      </w:r>
      <w:r w:rsidR="00A07F12" w:rsidRPr="00A07F12">
        <w:rPr>
          <w:rFonts w:asciiTheme="minorEastAsia" w:eastAsiaTheme="minorEastAsia" w:hAnsiTheme="minorEastAsia" w:hint="eastAsia"/>
          <w:sz w:val="21"/>
          <w:szCs w:val="21"/>
        </w:rPr>
        <w:t>021-31006787、</w:t>
      </w:r>
      <w:r w:rsidR="007955D7">
        <w:rPr>
          <w:rFonts w:asciiTheme="minorEastAsia" w:eastAsiaTheme="minorEastAsia" w:hAnsiTheme="minorEastAsia" w:hint="eastAsia"/>
          <w:sz w:val="21"/>
          <w:szCs w:val="21"/>
        </w:rPr>
        <w:t>0755-61280006、189-1787-0808 许先生</w:t>
      </w:r>
      <w:r w:rsidRPr="00A07F12">
        <w:rPr>
          <w:rFonts w:asciiTheme="minorEastAsia" w:eastAsiaTheme="minorEastAsia" w:hAnsiTheme="minorEastAsia" w:hint="eastAsia"/>
          <w:sz w:val="21"/>
          <w:szCs w:val="21"/>
        </w:rPr>
        <w:t xml:space="preserve"> ——企业学习网</w:t>
      </w:r>
      <w:r w:rsidRPr="00A07F12">
        <w:rPr>
          <w:rFonts w:asciiTheme="minorEastAsia" w:eastAsiaTheme="minorEastAsia" w:hAnsiTheme="minorEastAsia"/>
          <w:sz w:val="21"/>
          <w:szCs w:val="21"/>
        </w:rPr>
        <w:t>-</w:t>
      </w:r>
      <w:r w:rsidRPr="00A07F12">
        <w:rPr>
          <w:rFonts w:asciiTheme="minorEastAsia" w:eastAsiaTheme="minorEastAsia" w:hAnsiTheme="minorEastAsia" w:hint="eastAsia"/>
          <w:sz w:val="21"/>
          <w:szCs w:val="21"/>
        </w:rPr>
        <w:t>市场开发部</w:t>
      </w:r>
    </w:p>
    <w:p w:rsidR="00463788" w:rsidRPr="00A07F12" w:rsidRDefault="00463788">
      <w:pPr>
        <w:jc w:val="left"/>
        <w:rPr>
          <w:rFonts w:asciiTheme="minorEastAsia" w:hAnsiTheme="minorEastAsia"/>
          <w:color w:val="FF3300"/>
          <w:sz w:val="21"/>
          <w:szCs w:val="21"/>
        </w:rPr>
      </w:pPr>
    </w:p>
    <w:p w:rsidR="00463788" w:rsidRPr="00A07F12" w:rsidRDefault="00463788">
      <w:pPr>
        <w:rPr>
          <w:rFonts w:asciiTheme="minorEastAsia" w:hAnsiTheme="minorEastAsia"/>
          <w:sz w:val="21"/>
          <w:szCs w:val="21"/>
        </w:rPr>
      </w:pPr>
    </w:p>
    <w:p w:rsidR="00463788" w:rsidRPr="00A07F12" w:rsidRDefault="00463788">
      <w:pPr>
        <w:rPr>
          <w:rFonts w:asciiTheme="minorEastAsia" w:hAnsiTheme="minorEastAsia"/>
          <w:sz w:val="21"/>
          <w:szCs w:val="21"/>
        </w:rPr>
      </w:pPr>
    </w:p>
    <w:sectPr w:rsidR="00463788" w:rsidRPr="00A07F12" w:rsidSect="00463788">
      <w:headerReference w:type="default" r:id="rId9"/>
      <w:pgSz w:w="11906" w:h="16838"/>
      <w:pgMar w:top="1246" w:right="851" w:bottom="1361" w:left="851" w:header="284" w:footer="45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B3F" w:rsidRDefault="00CF4B3F" w:rsidP="00463788">
      <w:r>
        <w:separator/>
      </w:r>
    </w:p>
  </w:endnote>
  <w:endnote w:type="continuationSeparator" w:id="1">
    <w:p w:rsidR="00CF4B3F" w:rsidRDefault="00CF4B3F" w:rsidP="004637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ヒラギノ角ゴ Pro W3">
    <w:altName w:val="宋体"/>
    <w:charset w:val="80"/>
    <w:family w:val="auto"/>
    <w:pitch w:val="default"/>
    <w:sig w:usb0="00000000" w:usb1="00000000" w:usb2="00000000" w:usb3="00000000" w:csb0="00040001" w:csb1="00000000"/>
  </w:font>
  <w:font w:name="微软雅黑">
    <w:panose1 w:val="020B0503020204020204"/>
    <w:charset w:val="86"/>
    <w:family w:val="swiss"/>
    <w:pitch w:val="variable"/>
    <w:sig w:usb0="80000287" w:usb1="2A0F3C52" w:usb2="00000016" w:usb3="00000000" w:csb0="0004001F"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B3F" w:rsidRDefault="00CF4B3F" w:rsidP="00463788">
      <w:r>
        <w:separator/>
      </w:r>
    </w:p>
  </w:footnote>
  <w:footnote w:type="continuationSeparator" w:id="1">
    <w:p w:rsidR="00CF4B3F" w:rsidRDefault="00CF4B3F" w:rsidP="00463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88" w:rsidRPr="00A07F12" w:rsidRDefault="00463788" w:rsidP="007955D7">
    <w:pPr>
      <w:pStyle w:val="a4"/>
      <w:pBdr>
        <w:bottom w:val="single" w:sz="6" w:space="1" w:color="999999"/>
      </w:pBdr>
      <w:ind w:right="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D67CD"/>
    <w:multiLevelType w:val="multilevel"/>
    <w:tmpl w:val="38BD67CD"/>
    <w:lvl w:ilvl="0">
      <w:start w:val="1"/>
      <w:numFmt w:val="bullet"/>
      <w:lvlText w:val=""/>
      <w:lvlJc w:val="left"/>
      <w:pPr>
        <w:tabs>
          <w:tab w:val="left" w:pos="1020"/>
        </w:tabs>
        <w:ind w:left="1020" w:hanging="420"/>
      </w:pPr>
      <w:rPr>
        <w:rFonts w:ascii="Wingdings" w:hAnsi="Wingdings" w:hint="default"/>
      </w:rPr>
    </w:lvl>
    <w:lvl w:ilvl="1">
      <w:numFmt w:val="bullet"/>
      <w:lvlText w:val="■"/>
      <w:lvlJc w:val="left"/>
      <w:pPr>
        <w:tabs>
          <w:tab w:val="left" w:pos="1380"/>
        </w:tabs>
        <w:ind w:left="1380" w:hanging="360"/>
      </w:pPr>
      <w:rPr>
        <w:rFonts w:ascii="仿宋_GB2312" w:eastAsia="仿宋_GB2312" w:hAnsi="Times New Roman" w:cs="Times New Roman" w:hint="eastAsia"/>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A0D29A2"/>
    <w:rsid w:val="00070498"/>
    <w:rsid w:val="00087877"/>
    <w:rsid w:val="000A1262"/>
    <w:rsid w:val="00204C9E"/>
    <w:rsid w:val="00463788"/>
    <w:rsid w:val="004E14D0"/>
    <w:rsid w:val="00641214"/>
    <w:rsid w:val="007955D7"/>
    <w:rsid w:val="007F78BD"/>
    <w:rsid w:val="008865A9"/>
    <w:rsid w:val="00A07F12"/>
    <w:rsid w:val="00A94FD9"/>
    <w:rsid w:val="00B04A75"/>
    <w:rsid w:val="00C12001"/>
    <w:rsid w:val="00CF4B3F"/>
    <w:rsid w:val="00EA3394"/>
    <w:rsid w:val="00F20183"/>
    <w:rsid w:val="1A0D2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78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63788"/>
    <w:pPr>
      <w:tabs>
        <w:tab w:val="center" w:pos="4153"/>
        <w:tab w:val="right" w:pos="8306"/>
      </w:tabs>
      <w:snapToGrid w:val="0"/>
      <w:jc w:val="left"/>
    </w:pPr>
    <w:rPr>
      <w:sz w:val="18"/>
      <w:szCs w:val="18"/>
    </w:rPr>
  </w:style>
  <w:style w:type="paragraph" w:styleId="a4">
    <w:name w:val="header"/>
    <w:basedOn w:val="a"/>
    <w:rsid w:val="00463788"/>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463788"/>
    <w:pPr>
      <w:widowControl/>
      <w:spacing w:before="100" w:beforeAutospacing="1" w:after="100" w:afterAutospacing="1"/>
      <w:jc w:val="left"/>
    </w:pPr>
    <w:rPr>
      <w:rFonts w:ascii="宋体" w:hAnsi="宋体" w:cs="宋体"/>
      <w:kern w:val="0"/>
    </w:rPr>
  </w:style>
  <w:style w:type="paragraph" w:styleId="a6">
    <w:name w:val="Title"/>
    <w:basedOn w:val="a"/>
    <w:next w:val="a"/>
    <w:qFormat/>
    <w:rsid w:val="00463788"/>
    <w:pPr>
      <w:spacing w:before="240" w:after="60"/>
      <w:jc w:val="center"/>
      <w:outlineLvl w:val="0"/>
    </w:pPr>
    <w:rPr>
      <w:rFonts w:ascii="Cambria" w:hAnsi="Cambria"/>
      <w:b/>
      <w:bCs/>
      <w:sz w:val="32"/>
      <w:szCs w:val="32"/>
    </w:rPr>
  </w:style>
  <w:style w:type="character" w:styleId="a7">
    <w:name w:val="Hyperlink"/>
    <w:basedOn w:val="a0"/>
    <w:rsid w:val="00463788"/>
    <w:rPr>
      <w:color w:val="000000"/>
      <w:u w:val="none"/>
    </w:rPr>
  </w:style>
  <w:style w:type="paragraph" w:customStyle="1" w:styleId="CharChar11">
    <w:name w:val="Char Char11"/>
    <w:basedOn w:val="a"/>
    <w:uiPriority w:val="99"/>
    <w:qFormat/>
    <w:rsid w:val="00463788"/>
    <w:pPr>
      <w:widowControl/>
      <w:spacing w:after="160" w:line="240" w:lineRule="exact"/>
      <w:jc w:val="left"/>
    </w:pPr>
    <w:rPr>
      <w:rFonts w:ascii="Arial" w:hAnsi="Arial" w:cs="Verdana"/>
      <w:b/>
      <w:kern w:val="0"/>
      <w:szCs w:val="20"/>
      <w:lang w:eastAsia="en-US"/>
    </w:rPr>
  </w:style>
  <w:style w:type="paragraph" w:customStyle="1" w:styleId="a8">
    <w:name w:val="自由格式"/>
    <w:rsid w:val="00A07F12"/>
    <w:rPr>
      <w:rFonts w:ascii="Times New Roman" w:eastAsia="ヒラギノ角ゴ Pro W3" w:hAnsi="Times New Roman" w:cs="Times New Roman"/>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0588808@vip.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471</Words>
  <Characters>2685</Characters>
  <Application>Microsoft Office Word</Application>
  <DocSecurity>0</DocSecurity>
  <Lines>22</Lines>
  <Paragraphs>6</Paragraphs>
  <ScaleCrop>false</ScaleCrop>
  <Company>XiTongTianDi.Com</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2016-10-11T06:25:00Z</dcterms:created>
  <dcterms:modified xsi:type="dcterms:W3CDTF">2016-11-10T06:01:00Z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