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1E" w:rsidRDefault="0097151E" w:rsidP="0097151E">
      <w:pPr>
        <w:widowControl/>
        <w:spacing w:line="276" w:lineRule="auto"/>
        <w:jc w:val="left"/>
        <w:rPr>
          <w:rFonts w:ascii="微软雅黑" w:eastAsia="微软雅黑" w:hAnsi="微软雅黑" w:cs="微软雅黑"/>
          <w:b/>
          <w:color w:val="000000"/>
          <w:sz w:val="52"/>
          <w:szCs w:val="52"/>
        </w:rPr>
      </w:pPr>
      <w:r>
        <w:rPr>
          <w:rFonts w:ascii="微软雅黑" w:eastAsia="微软雅黑" w:hAnsi="微软雅黑" w:cs="微软雅黑"/>
          <w:b/>
          <w:color w:val="000000"/>
          <w:sz w:val="52"/>
          <w:szCs w:val="52"/>
        </w:rPr>
        <w:t>2016</w:t>
      </w:r>
      <w:r>
        <w:rPr>
          <w:rFonts w:ascii="微软雅黑" w:eastAsia="微软雅黑" w:hAnsi="微软雅黑" w:cs="微软雅黑" w:hint="eastAsia"/>
          <w:b/>
          <w:color w:val="000000"/>
          <w:sz w:val="52"/>
          <w:szCs w:val="52"/>
        </w:rPr>
        <w:t xml:space="preserve">：中国经济形势与企业转型突破 </w:t>
      </w:r>
    </w:p>
    <w:p w:rsidR="0097151E" w:rsidRDefault="0097151E" w:rsidP="006F60AD">
      <w:pPr>
        <w:adjustRightInd w:val="0"/>
        <w:snapToGrid w:val="0"/>
        <w:spacing w:beforeLines="60" w:afterLines="60" w:line="276" w:lineRule="auto"/>
        <w:rPr>
          <w:rFonts w:ascii="宋体" w:hAnsi="宋体" w:cs="宋体"/>
          <w:color w:val="002060"/>
          <w:kern w:val="0"/>
          <w:sz w:val="24"/>
        </w:rPr>
      </w:pPr>
      <w:r>
        <w:rPr>
          <w:rFonts w:ascii="微软雅黑" w:eastAsia="微软雅黑" w:hAnsi="微软雅黑" w:cs="微软雅黑" w:hint="eastAsia"/>
          <w:b/>
          <w:color w:val="002060"/>
          <w:sz w:val="36"/>
          <w:szCs w:val="36"/>
        </w:rPr>
        <w:t xml:space="preserve">经济与金融形势、产业发展与巨变、企业应对与创新 </w:t>
      </w:r>
      <w:r>
        <w:rPr>
          <w:color w:val="002060"/>
          <w:kern w:val="0"/>
          <w:sz w:val="24"/>
        </w:rPr>
        <w:t> </w:t>
      </w:r>
      <w:r>
        <w:rPr>
          <w:rFonts w:ascii="宋体" w:hAnsi="宋体" w:cs="宋体" w:hint="eastAsia"/>
          <w:color w:val="002060"/>
          <w:kern w:val="0"/>
          <w:sz w:val="24"/>
        </w:rPr>
        <w:t xml:space="preserve">  </w:t>
      </w:r>
    </w:p>
    <w:p w:rsidR="0097151E" w:rsidRDefault="0097151E" w:rsidP="006F60AD">
      <w:pPr>
        <w:adjustRightInd w:val="0"/>
        <w:snapToGrid w:val="0"/>
        <w:spacing w:beforeLines="60" w:afterLines="60" w:line="276" w:lineRule="auto"/>
        <w:rPr>
          <w:rFonts w:asciiTheme="minorEastAsia" w:eastAsiaTheme="minorEastAsia" w:hAnsiTheme="minorEastAsia" w:cs="微软雅黑"/>
          <w:b/>
          <w:color w:val="000000"/>
          <w:sz w:val="24"/>
        </w:rPr>
      </w:pPr>
      <w:r>
        <w:rPr>
          <w:rFonts w:ascii="宋体" w:hAnsi="宋体" w:cs="宋体" w:hint="eastAsia"/>
          <w:color w:val="000000"/>
          <w:kern w:val="0"/>
          <w:sz w:val="24"/>
        </w:rPr>
        <w:t xml:space="preserve">   </w:t>
      </w:r>
      <w:r w:rsidRPr="0097151E">
        <w:rPr>
          <w:rFonts w:asciiTheme="minorEastAsia" w:eastAsiaTheme="minorEastAsia" w:hAnsiTheme="minorEastAsia" w:cs="宋体" w:hint="eastAsia"/>
          <w:color w:val="000000"/>
          <w:kern w:val="0"/>
          <w:sz w:val="24"/>
        </w:rPr>
        <w:t xml:space="preserve">     </w:t>
      </w:r>
      <w:r w:rsidRPr="0097151E">
        <w:rPr>
          <w:rFonts w:asciiTheme="minorEastAsia" w:eastAsiaTheme="minorEastAsia" w:hAnsiTheme="minorEastAsia" w:cs="微软雅黑" w:hint="eastAsia"/>
          <w:b/>
          <w:color w:val="000000"/>
          <w:sz w:val="24"/>
        </w:rPr>
        <w:t xml:space="preserve"> ——吴晓波、陈志武、向松祚、马骏等顶级专家联袂开讲</w:t>
      </w:r>
    </w:p>
    <w:p w:rsidR="0097151E" w:rsidRDefault="0097151E" w:rsidP="006F60AD">
      <w:pPr>
        <w:adjustRightInd w:val="0"/>
        <w:snapToGrid w:val="0"/>
        <w:spacing w:beforeLines="60" w:afterLines="60"/>
        <w:rPr>
          <w:rFonts w:asciiTheme="minorEastAsia" w:eastAsiaTheme="minorEastAsia" w:hAnsiTheme="minorEastAsia" w:cs="微软雅黑"/>
          <w:color w:val="000000"/>
          <w:sz w:val="24"/>
        </w:rPr>
      </w:pPr>
      <w:r w:rsidRPr="0097151E">
        <w:rPr>
          <w:rFonts w:asciiTheme="minorEastAsia" w:eastAsiaTheme="minorEastAsia" w:hAnsiTheme="minorEastAsia" w:cs="微软雅黑" w:hint="eastAsia"/>
          <w:b/>
          <w:color w:val="000000"/>
          <w:sz w:val="24"/>
        </w:rPr>
        <w:t>时间：</w:t>
      </w:r>
      <w:r w:rsidRPr="0097151E">
        <w:rPr>
          <w:rFonts w:asciiTheme="minorEastAsia" w:eastAsiaTheme="minorEastAsia" w:hAnsiTheme="minorEastAsia" w:cs="微软雅黑" w:hint="eastAsia"/>
          <w:color w:val="000000"/>
          <w:sz w:val="24"/>
        </w:rPr>
        <w:t>6月17-18日（周五、六） 北京香格里拉大酒店</w:t>
      </w:r>
    </w:p>
    <w:p w:rsidR="0097151E" w:rsidRDefault="0097151E" w:rsidP="006F60AD">
      <w:pPr>
        <w:adjustRightInd w:val="0"/>
        <w:snapToGrid w:val="0"/>
        <w:spacing w:beforeLines="60" w:afterLines="60"/>
        <w:rPr>
          <w:rFonts w:asciiTheme="minorEastAsia" w:eastAsiaTheme="minorEastAsia" w:hAnsiTheme="minorEastAsia" w:cs="微软雅黑"/>
          <w:color w:val="000000"/>
          <w:sz w:val="24"/>
        </w:rPr>
      </w:pPr>
      <w:r w:rsidRPr="0097151E">
        <w:rPr>
          <w:rFonts w:asciiTheme="minorEastAsia" w:eastAsiaTheme="minorEastAsia" w:hAnsiTheme="minorEastAsia" w:cs="微软雅黑" w:hint="eastAsia"/>
          <w:b/>
          <w:color w:val="000000"/>
          <w:sz w:val="24"/>
        </w:rPr>
        <w:t>参加对象：</w:t>
      </w:r>
      <w:r w:rsidRPr="0097151E">
        <w:rPr>
          <w:rFonts w:asciiTheme="minorEastAsia" w:eastAsiaTheme="minorEastAsia" w:hAnsiTheme="minorEastAsia" w:cs="微软雅黑" w:hint="eastAsia"/>
          <w:color w:val="000000"/>
          <w:sz w:val="24"/>
        </w:rPr>
        <w:t>董事长、总裁、副总裁、总经理、副总经理、战略及投资部门等相关负责人</w:t>
      </w:r>
    </w:p>
    <w:p w:rsidR="0097151E" w:rsidRPr="0097151E" w:rsidRDefault="0097151E" w:rsidP="0097151E">
      <w:pPr>
        <w:spacing w:line="380" w:lineRule="exact"/>
        <w:rPr>
          <w:rFonts w:asciiTheme="minorEastAsia" w:eastAsiaTheme="minorEastAsia" w:hAnsiTheme="minorEastAsia" w:cs="微软雅黑"/>
          <w:b/>
          <w:bCs/>
          <w:color w:val="0070C0"/>
          <w:kern w:val="0"/>
          <w:sz w:val="24"/>
        </w:rPr>
      </w:pPr>
      <w:r w:rsidRPr="0097151E">
        <w:rPr>
          <w:rFonts w:asciiTheme="minorEastAsia" w:eastAsiaTheme="minorEastAsia" w:hAnsiTheme="minorEastAsia" w:cs="微软雅黑" w:hint="eastAsia"/>
          <w:b/>
          <w:bCs/>
          <w:color w:val="000000" w:themeColor="text1"/>
          <w:kern w:val="0"/>
          <w:sz w:val="24"/>
        </w:rPr>
        <w:t>学习费用</w:t>
      </w:r>
      <w:r>
        <w:rPr>
          <w:rFonts w:asciiTheme="minorEastAsia" w:eastAsiaTheme="minorEastAsia" w:hAnsiTheme="minorEastAsia" w:cs="微软雅黑" w:hint="eastAsia"/>
          <w:b/>
          <w:bCs/>
          <w:color w:val="000000"/>
          <w:kern w:val="0"/>
          <w:sz w:val="24"/>
        </w:rPr>
        <w:t>：</w:t>
      </w:r>
      <w:r w:rsidRPr="0097151E">
        <w:rPr>
          <w:rFonts w:asciiTheme="minorEastAsia" w:eastAsiaTheme="minorEastAsia" w:hAnsiTheme="minorEastAsia" w:cs="微软雅黑" w:hint="eastAsia"/>
          <w:bCs/>
          <w:color w:val="000000"/>
          <w:kern w:val="0"/>
          <w:sz w:val="24"/>
        </w:rPr>
        <w:t>4600</w:t>
      </w:r>
      <w:r w:rsidRPr="0097151E">
        <w:rPr>
          <w:rFonts w:asciiTheme="minorEastAsia" w:eastAsiaTheme="minorEastAsia" w:hAnsiTheme="minorEastAsia" w:cs="微软雅黑" w:hint="eastAsia"/>
          <w:sz w:val="24"/>
        </w:rPr>
        <w:t>元/2天/人</w:t>
      </w:r>
    </w:p>
    <w:p w:rsidR="0097151E" w:rsidRPr="0097151E" w:rsidRDefault="0097151E" w:rsidP="006F60AD">
      <w:pPr>
        <w:adjustRightInd w:val="0"/>
        <w:snapToGrid w:val="0"/>
        <w:spacing w:beforeLines="60" w:afterLines="60"/>
        <w:rPr>
          <w:rFonts w:asciiTheme="minorEastAsia" w:eastAsiaTheme="minorEastAsia" w:hAnsiTheme="minorEastAsia" w:cs="微软雅黑"/>
          <w:color w:val="000000"/>
          <w:sz w:val="24"/>
        </w:rPr>
      </w:pPr>
      <w:r w:rsidRPr="0097151E">
        <w:rPr>
          <w:rFonts w:asciiTheme="minorEastAsia" w:eastAsiaTheme="minorEastAsia" w:hAnsiTheme="minorEastAsia" w:cs="微软雅黑" w:hint="eastAsia"/>
          <w:b/>
          <w:color w:val="000000"/>
          <w:sz w:val="24"/>
        </w:rPr>
        <w:t>报名热线：</w:t>
      </w:r>
      <w:r w:rsidRPr="0097151E">
        <w:rPr>
          <w:rFonts w:asciiTheme="minorEastAsia" w:eastAsiaTheme="minorEastAsia" w:hAnsiTheme="minorEastAsia" w:cs="微软雅黑" w:hint="eastAsia"/>
          <w:color w:val="000000"/>
          <w:sz w:val="24"/>
        </w:rPr>
        <w:t>010-5129-9910，18917870808  许老师</w:t>
      </w:r>
    </w:p>
    <w:p w:rsidR="0097151E" w:rsidRPr="0097151E" w:rsidRDefault="0097151E" w:rsidP="006F60AD">
      <w:pPr>
        <w:adjustRightInd w:val="0"/>
        <w:snapToGrid w:val="0"/>
        <w:spacing w:beforeLines="60" w:afterLines="60"/>
        <w:rPr>
          <w:rFonts w:asciiTheme="minorEastAsia" w:eastAsiaTheme="minorEastAsia" w:hAnsiTheme="minorEastAsia" w:cs="微软雅黑"/>
          <w:b/>
          <w:color w:val="000000"/>
          <w:sz w:val="24"/>
        </w:rPr>
      </w:pPr>
      <w:r w:rsidRPr="0097151E">
        <w:rPr>
          <w:rFonts w:asciiTheme="minorEastAsia" w:eastAsiaTheme="minorEastAsia" w:hAnsiTheme="minorEastAsia" w:cs="微软雅黑" w:hint="eastAsia"/>
          <w:b/>
          <w:color w:val="000000"/>
          <w:sz w:val="24"/>
        </w:rPr>
        <w:t>邮箱：</w:t>
      </w:r>
      <w:hyperlink r:id="rId7" w:history="1">
        <w:r w:rsidRPr="0097151E">
          <w:rPr>
            <w:rStyle w:val="a5"/>
            <w:rFonts w:asciiTheme="minorEastAsia" w:eastAsiaTheme="minorEastAsia" w:hAnsiTheme="minorEastAsia" w:cs="微软雅黑" w:hint="eastAsia"/>
            <w:sz w:val="24"/>
          </w:rPr>
          <w:t>320588808@.com</w:t>
        </w:r>
      </w:hyperlink>
      <w:r w:rsidRPr="0097151E">
        <w:rPr>
          <w:rFonts w:asciiTheme="minorEastAsia" w:eastAsiaTheme="minorEastAsia" w:hAnsiTheme="minorEastAsia" w:cs="微软雅黑" w:hint="eastAsia"/>
          <w:color w:val="000000"/>
          <w:sz w:val="24"/>
        </w:rPr>
        <w:t xml:space="preserve">,  </w:t>
      </w:r>
      <w:r w:rsidRPr="0097151E">
        <w:rPr>
          <w:rFonts w:asciiTheme="minorEastAsia" w:eastAsiaTheme="minorEastAsia" w:hAnsiTheme="minorEastAsia" w:cs="微软雅黑" w:hint="eastAsia"/>
          <w:b/>
          <w:color w:val="000000"/>
          <w:sz w:val="24"/>
        </w:rPr>
        <w:t xml:space="preserve"> 微信、QQ</w:t>
      </w:r>
      <w:r w:rsidRPr="0097151E">
        <w:rPr>
          <w:rFonts w:asciiTheme="minorEastAsia" w:eastAsiaTheme="minorEastAsia" w:hAnsiTheme="minorEastAsia" w:cs="微软雅黑" w:hint="eastAsia"/>
          <w:color w:val="000000"/>
          <w:sz w:val="24"/>
        </w:rPr>
        <w:t>：320588808</w:t>
      </w:r>
    </w:p>
    <w:p w:rsidR="00E22701" w:rsidRPr="00B26AC8" w:rsidRDefault="0097151E">
      <w:pPr>
        <w:rPr>
          <w:b/>
          <w:color w:val="7030A0"/>
          <w:sz w:val="24"/>
        </w:rPr>
      </w:pPr>
      <w:r w:rsidRPr="00B26AC8">
        <w:rPr>
          <w:rFonts w:hint="eastAsia"/>
          <w:b/>
          <w:color w:val="7030A0"/>
          <w:sz w:val="24"/>
        </w:rPr>
        <w:t>课程背景：</w:t>
      </w:r>
    </w:p>
    <w:p w:rsidR="0097151E" w:rsidRPr="00B26AC8" w:rsidRDefault="0097151E" w:rsidP="00B26AC8">
      <w:pPr>
        <w:tabs>
          <w:tab w:val="left" w:pos="720"/>
          <w:tab w:val="left" w:pos="1852"/>
        </w:tabs>
        <w:autoSpaceDE w:val="0"/>
        <w:autoSpaceDN w:val="0"/>
        <w:adjustRightInd w:val="0"/>
        <w:snapToGrid w:val="0"/>
        <w:spacing w:line="360" w:lineRule="exact"/>
        <w:ind w:right="17" w:firstLineChars="200" w:firstLine="360"/>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当前，全球经济形势扑朔迷离，中国经济转型坎坷曲折</w:t>
      </w:r>
      <w:r w:rsidR="00B26AC8">
        <w:rPr>
          <w:rFonts w:asciiTheme="minorEastAsia" w:eastAsiaTheme="minorEastAsia" w:hAnsiTheme="minorEastAsia" w:cs="微软雅黑" w:hint="eastAsia"/>
          <w:bCs/>
          <w:color w:val="000000"/>
          <w:sz w:val="18"/>
          <w:szCs w:val="18"/>
        </w:rPr>
        <w:t>。面对如此不确定的经济环境，以及移动互联网与新技术带来的冲击</w:t>
      </w:r>
    </w:p>
    <w:p w:rsidR="0097151E" w:rsidRPr="00B26AC8" w:rsidRDefault="0097151E" w:rsidP="00B26AC8">
      <w:pPr>
        <w:tabs>
          <w:tab w:val="left" w:pos="720"/>
          <w:tab w:val="left" w:pos="1852"/>
        </w:tabs>
        <w:autoSpaceDE w:val="0"/>
        <w:autoSpaceDN w:val="0"/>
        <w:adjustRightInd w:val="0"/>
        <w:snapToGrid w:val="0"/>
        <w:spacing w:line="360" w:lineRule="exact"/>
        <w:ind w:right="17" w:firstLineChars="200" w:firstLine="360"/>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未来的经济金融走势如何研判?转型时期的产业发生那些巨变?2016年，挑战与机遇并存，企业经营者如何把握？</w:t>
      </w:r>
    </w:p>
    <w:p w:rsidR="0097151E" w:rsidRPr="00B26AC8" w:rsidRDefault="0097151E" w:rsidP="00B26AC8">
      <w:pPr>
        <w:tabs>
          <w:tab w:val="left" w:pos="720"/>
          <w:tab w:val="left" w:pos="1852"/>
        </w:tabs>
        <w:autoSpaceDE w:val="0"/>
        <w:autoSpaceDN w:val="0"/>
        <w:adjustRightInd w:val="0"/>
        <w:snapToGrid w:val="0"/>
        <w:spacing w:line="360" w:lineRule="exact"/>
        <w:ind w:right="17" w:firstLineChars="200" w:firstLine="360"/>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为此，世纪名家讲堂特邀著名专家吴晓波、陈志武、向松祚、马骏联袂开讲，相约北京，历时2天，分析形势、分析问题、厘清脉络，给出思路，帮助广大中国企业在产业发展与巨变中，赢得发展良机。</w:t>
      </w:r>
    </w:p>
    <w:p w:rsidR="0097151E" w:rsidRPr="00B26AC8" w:rsidRDefault="0097151E" w:rsidP="0097151E">
      <w:pPr>
        <w:adjustRightInd w:val="0"/>
        <w:snapToGrid w:val="0"/>
        <w:spacing w:line="440" w:lineRule="exact"/>
        <w:jc w:val="left"/>
        <w:rPr>
          <w:rFonts w:asciiTheme="minorEastAsia" w:eastAsiaTheme="minorEastAsia" w:hAnsiTheme="minorEastAsia" w:cs="微软雅黑"/>
          <w:bCs/>
          <w:color w:val="7030A0"/>
          <w:kern w:val="0"/>
          <w:sz w:val="24"/>
        </w:rPr>
      </w:pPr>
      <w:r w:rsidRPr="00B26AC8">
        <w:rPr>
          <w:rFonts w:asciiTheme="minorEastAsia" w:eastAsiaTheme="minorEastAsia" w:hAnsiTheme="minorEastAsia" w:cs="微软雅黑" w:hint="eastAsia"/>
          <w:b/>
          <w:bCs/>
          <w:color w:val="7030A0"/>
          <w:kern w:val="0"/>
          <w:sz w:val="24"/>
        </w:rPr>
        <w:t>课程收益：</w:t>
      </w:r>
    </w:p>
    <w:p w:rsidR="0097151E" w:rsidRPr="00B26AC8" w:rsidRDefault="0097151E" w:rsidP="0097151E">
      <w:pPr>
        <w:numPr>
          <w:ilvl w:val="0"/>
          <w:numId w:val="1"/>
        </w:numPr>
        <w:tabs>
          <w:tab w:val="left" w:pos="420"/>
          <w:tab w:val="left" w:pos="720"/>
          <w:tab w:val="left" w:pos="1852"/>
        </w:tabs>
        <w:autoSpaceDE w:val="0"/>
        <w:autoSpaceDN w:val="0"/>
        <w:adjustRightInd w:val="0"/>
        <w:snapToGrid w:val="0"/>
        <w:spacing w:line="360" w:lineRule="exact"/>
        <w:ind w:right="17"/>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四大专家从全球到中国的经济发展趋势来逐一剖析；</w:t>
      </w:r>
    </w:p>
    <w:p w:rsidR="0097151E" w:rsidRPr="00B26AC8" w:rsidRDefault="0097151E" w:rsidP="0097151E">
      <w:pPr>
        <w:numPr>
          <w:ilvl w:val="0"/>
          <w:numId w:val="1"/>
        </w:numPr>
        <w:tabs>
          <w:tab w:val="left" w:pos="420"/>
          <w:tab w:val="left" w:pos="720"/>
          <w:tab w:val="left" w:pos="1852"/>
        </w:tabs>
        <w:autoSpaceDE w:val="0"/>
        <w:autoSpaceDN w:val="0"/>
        <w:adjustRightInd w:val="0"/>
        <w:snapToGrid w:val="0"/>
        <w:spacing w:line="360" w:lineRule="exact"/>
        <w:ind w:right="17"/>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明晰企业如何面对产业转型？如何从制度和思想上面对产业变革？</w:t>
      </w:r>
    </w:p>
    <w:p w:rsidR="0097151E" w:rsidRDefault="0097151E" w:rsidP="0097151E">
      <w:pPr>
        <w:numPr>
          <w:ilvl w:val="0"/>
          <w:numId w:val="1"/>
        </w:numPr>
        <w:tabs>
          <w:tab w:val="left" w:pos="420"/>
          <w:tab w:val="left" w:pos="720"/>
          <w:tab w:val="left" w:pos="1852"/>
        </w:tabs>
        <w:autoSpaceDE w:val="0"/>
        <w:autoSpaceDN w:val="0"/>
        <w:adjustRightInd w:val="0"/>
        <w:snapToGrid w:val="0"/>
        <w:spacing w:line="360" w:lineRule="exact"/>
        <w:ind w:right="17"/>
        <w:rPr>
          <w:rFonts w:asciiTheme="minorEastAsia" w:eastAsiaTheme="minorEastAsia" w:hAnsiTheme="minorEastAsia" w:cs="微软雅黑"/>
          <w:bCs/>
          <w:color w:val="000000"/>
          <w:sz w:val="18"/>
          <w:szCs w:val="18"/>
        </w:rPr>
      </w:pPr>
      <w:r w:rsidRPr="00B26AC8">
        <w:rPr>
          <w:rFonts w:asciiTheme="minorEastAsia" w:eastAsiaTheme="minorEastAsia" w:hAnsiTheme="minorEastAsia" w:cs="微软雅黑" w:hint="eastAsia"/>
          <w:bCs/>
          <w:color w:val="000000"/>
          <w:sz w:val="18"/>
          <w:szCs w:val="18"/>
        </w:rPr>
        <w:t>论道国企、民企在新一轮产业巨变中的发展痛点、难点、机会点；</w:t>
      </w:r>
    </w:p>
    <w:p w:rsidR="00B26AC8" w:rsidRPr="00B26AC8" w:rsidRDefault="00B26AC8" w:rsidP="00B26AC8">
      <w:pPr>
        <w:tabs>
          <w:tab w:val="left" w:pos="720"/>
          <w:tab w:val="left" w:pos="1852"/>
        </w:tabs>
        <w:autoSpaceDE w:val="0"/>
        <w:autoSpaceDN w:val="0"/>
        <w:adjustRightInd w:val="0"/>
        <w:snapToGrid w:val="0"/>
        <w:spacing w:line="360" w:lineRule="exact"/>
        <w:ind w:left="420" w:right="17"/>
        <w:rPr>
          <w:rFonts w:asciiTheme="minorEastAsia" w:eastAsiaTheme="minorEastAsia" w:hAnsiTheme="minorEastAsia" w:cs="微软雅黑"/>
          <w:bCs/>
          <w:color w:val="000000"/>
          <w:sz w:val="18"/>
          <w:szCs w:val="18"/>
        </w:rPr>
      </w:pPr>
    </w:p>
    <w:p w:rsidR="0097151E" w:rsidRDefault="0097151E" w:rsidP="0097151E">
      <w:pPr>
        <w:adjustRightInd w:val="0"/>
        <w:snapToGrid w:val="0"/>
        <w:spacing w:line="320" w:lineRule="atLeast"/>
        <w:rPr>
          <w:rFonts w:asciiTheme="minorEastAsia" w:eastAsiaTheme="minorEastAsia" w:hAnsiTheme="minorEastAsia" w:cs="微软雅黑"/>
          <w:b/>
          <w:bCs/>
          <w:color w:val="000000" w:themeColor="text1"/>
          <w:kern w:val="0"/>
          <w:sz w:val="28"/>
          <w:szCs w:val="28"/>
        </w:rPr>
      </w:pPr>
      <w:r w:rsidRPr="0097151E">
        <w:rPr>
          <w:rFonts w:asciiTheme="minorEastAsia" w:eastAsiaTheme="minorEastAsia" w:hAnsiTheme="minorEastAsia" w:cs="微软雅黑" w:hint="eastAsia"/>
          <w:b/>
          <w:bCs/>
          <w:color w:val="000000" w:themeColor="text1"/>
          <w:kern w:val="0"/>
          <w:sz w:val="28"/>
          <w:szCs w:val="28"/>
        </w:rPr>
        <w:t>【主题与嘉宾简介】</w:t>
      </w:r>
    </w:p>
    <w:p w:rsidR="00B26AC8" w:rsidRPr="00BF169E" w:rsidRDefault="00B26AC8" w:rsidP="00B26AC8">
      <w:pPr>
        <w:rPr>
          <w:rFonts w:asciiTheme="minorEastAsia" w:eastAsiaTheme="minorEastAsia" w:hAnsiTheme="minorEastAsia"/>
          <w:b/>
          <w:color w:val="0000FF"/>
          <w:sz w:val="24"/>
        </w:rPr>
      </w:pPr>
      <w:r w:rsidRPr="00BF169E">
        <w:rPr>
          <w:rFonts w:asciiTheme="minorEastAsia" w:eastAsiaTheme="minorEastAsia" w:hAnsiTheme="minorEastAsia" w:hint="eastAsia"/>
          <w:b/>
          <w:color w:val="0000FF"/>
          <w:sz w:val="24"/>
        </w:rPr>
        <w:t xml:space="preserve">6月17日上午    嘉宾：吴晓波  主题： 2016：中国产业巨变与企业应对 </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b/>
          <w:szCs w:val="21"/>
        </w:rPr>
        <w:t>吴晓波：</w:t>
      </w:r>
      <w:r w:rsidRPr="00B26AC8">
        <w:rPr>
          <w:rFonts w:asciiTheme="minorEastAsia" w:eastAsiaTheme="minorEastAsia" w:hAnsiTheme="minorEastAsia" w:hint="eastAsia"/>
          <w:sz w:val="18"/>
          <w:szCs w:val="18"/>
        </w:rPr>
        <w:t>中国当代著名财经作家、企业研究学者。现任巴九灵新媒体、蓝狮子出版创始人、风险投资人。2015年4月15日，吴晓波与多位学者、企业家一起参加了李克强总理主持召开的经济形势座谈会谏言献策。丰富的阅历、深邃的思想、独到的视角，吴晓波赢得当前中国著名的企业家如马云、张瑞敏、王石等人的认可与尊重。12年一线财经记者经历，对中国企业的了解非常全面透彻。</w:t>
      </w:r>
    </w:p>
    <w:p w:rsidR="0097151E"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 xml:space="preserve">    近年来，吴晓波著作丰富，被誉为“中国最好的财经作家”。其中《激荡三十年》被评为 “2008年《新周刊》新锐榜之年度图书”；《跌荡一百年》被中国图书评论学会评为“2009年度十大图书”；《浩荡两千年》被评为“2012读书盛典年度影响力图书”；《历代经济变革得失》被评为亚洲周刊2013年度十大好书（非小说类）；《大败局》被评为“影响中国商业界的二十本书”之一。2009年被《南方人物周刊》评为年度“中国青年领袖”。2015央视“十大经济年度人物”评委会主席。</w:t>
      </w:r>
    </w:p>
    <w:p w:rsidR="00B26AC8" w:rsidRPr="00B26AC8" w:rsidRDefault="00B26AC8" w:rsidP="00B26AC8">
      <w:pPr>
        <w:rPr>
          <w:rFonts w:asciiTheme="minorEastAsia" w:eastAsiaTheme="minorEastAsia" w:hAnsiTheme="minorEastAsia"/>
          <w:b/>
          <w:szCs w:val="21"/>
        </w:rPr>
      </w:pPr>
      <w:r w:rsidRPr="00B26AC8">
        <w:rPr>
          <w:rFonts w:asciiTheme="minorEastAsia" w:eastAsiaTheme="minorEastAsia" w:hAnsiTheme="minorEastAsia" w:hint="eastAsia"/>
          <w:b/>
          <w:szCs w:val="21"/>
        </w:rPr>
        <w:t>内容提要：</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cs="宋体" w:hint="eastAsia"/>
          <w:szCs w:val="21"/>
        </w:rPr>
        <w:t></w:t>
      </w:r>
      <w:r w:rsidRPr="00B26AC8">
        <w:rPr>
          <w:rFonts w:asciiTheme="minorEastAsia" w:eastAsiaTheme="minorEastAsia" w:hAnsiTheme="minorEastAsia" w:hint="eastAsia"/>
          <w:sz w:val="18"/>
          <w:szCs w:val="18"/>
        </w:rPr>
        <w:t>危机与挑战：</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lastRenderedPageBreak/>
        <w:t>1、从1978到2015，中国经历的三次重大的产业巨变；</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2、引发产业巨变的三驾马车和四大驱动力；</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cs="宋体" w:hint="eastAsia"/>
          <w:sz w:val="18"/>
          <w:szCs w:val="18"/>
        </w:rPr>
        <w:t></w:t>
      </w:r>
      <w:r w:rsidRPr="00B26AC8">
        <w:rPr>
          <w:rFonts w:asciiTheme="minorEastAsia" w:eastAsiaTheme="minorEastAsia" w:hAnsiTheme="minorEastAsia" w:hint="eastAsia"/>
          <w:sz w:val="18"/>
          <w:szCs w:val="18"/>
        </w:rPr>
        <w:t>四大新动力</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1、危机中的产业——制造业；</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2、危机中的产业——零售服务业；</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3、危机中的产业——金融业；</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4、新城镇化；</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没有传统产业，没有夕阳产业，如何突破传统产业和夕阳产业的“思维和理念”；</w:t>
      </w:r>
    </w:p>
    <w:p w:rsidR="00B26AC8" w:rsidRPr="00B26AC8" w:rsidRDefault="00B26AC8" w:rsidP="00B26AC8">
      <w:pPr>
        <w:rPr>
          <w:rFonts w:asciiTheme="minorEastAsia" w:eastAsiaTheme="minorEastAsia" w:hAnsiTheme="minorEastAsia"/>
          <w:szCs w:val="21"/>
        </w:rPr>
      </w:pPr>
    </w:p>
    <w:p w:rsidR="00B26AC8" w:rsidRPr="00BF169E" w:rsidRDefault="00B26AC8" w:rsidP="00B26AC8">
      <w:pPr>
        <w:rPr>
          <w:rFonts w:asciiTheme="minorEastAsia" w:eastAsiaTheme="minorEastAsia" w:hAnsiTheme="minorEastAsia"/>
          <w:b/>
          <w:color w:val="0000FF"/>
          <w:sz w:val="24"/>
        </w:rPr>
      </w:pPr>
      <w:r w:rsidRPr="00BF169E">
        <w:rPr>
          <w:rFonts w:ascii="宋体" w:hAnsi="宋体" w:cs="宋体" w:hint="eastAsia"/>
          <w:b/>
          <w:color w:val="0000FF"/>
          <w:sz w:val="24"/>
        </w:rPr>
        <w:t>6</w:t>
      </w:r>
      <w:r w:rsidRPr="00BF169E">
        <w:rPr>
          <w:rFonts w:asciiTheme="minorEastAsia" w:eastAsiaTheme="minorEastAsia" w:hAnsiTheme="minorEastAsia" w:hint="eastAsia"/>
          <w:b/>
          <w:color w:val="0000FF"/>
          <w:sz w:val="24"/>
        </w:rPr>
        <w:t>月</w:t>
      </w:r>
      <w:r w:rsidRPr="00BF169E">
        <w:rPr>
          <w:rFonts w:asciiTheme="minorEastAsia" w:eastAsiaTheme="minorEastAsia" w:hAnsiTheme="minorEastAsia"/>
          <w:b/>
          <w:color w:val="0000FF"/>
          <w:sz w:val="24"/>
        </w:rPr>
        <w:t>17</w:t>
      </w:r>
      <w:r w:rsidRPr="00BF169E">
        <w:rPr>
          <w:rFonts w:asciiTheme="minorEastAsia" w:eastAsiaTheme="minorEastAsia" w:hAnsiTheme="minorEastAsia" w:hint="eastAsia"/>
          <w:b/>
          <w:color w:val="0000FF"/>
          <w:sz w:val="24"/>
        </w:rPr>
        <w:t>日下午</w:t>
      </w:r>
      <w:r w:rsidRPr="00BF169E">
        <w:rPr>
          <w:rFonts w:asciiTheme="minorEastAsia" w:eastAsiaTheme="minorEastAsia" w:hAnsiTheme="minorEastAsia"/>
          <w:b/>
          <w:color w:val="0000FF"/>
          <w:sz w:val="24"/>
        </w:rPr>
        <w:t xml:space="preserve">   </w:t>
      </w:r>
      <w:r w:rsidRPr="00BF169E">
        <w:rPr>
          <w:rFonts w:asciiTheme="minorEastAsia" w:eastAsiaTheme="minorEastAsia" w:hAnsiTheme="minorEastAsia" w:hint="eastAsia"/>
          <w:b/>
          <w:color w:val="0000FF"/>
          <w:sz w:val="24"/>
        </w:rPr>
        <w:t>嘉宾：陈志武</w:t>
      </w:r>
      <w:r w:rsidRPr="00BF169E">
        <w:rPr>
          <w:rFonts w:asciiTheme="minorEastAsia" w:eastAsiaTheme="minorEastAsia" w:hAnsiTheme="minorEastAsia"/>
          <w:b/>
          <w:color w:val="0000FF"/>
          <w:sz w:val="24"/>
        </w:rPr>
        <w:t xml:space="preserve">   </w:t>
      </w:r>
      <w:r w:rsidRPr="00BF169E">
        <w:rPr>
          <w:rFonts w:asciiTheme="minorEastAsia" w:eastAsiaTheme="minorEastAsia" w:hAnsiTheme="minorEastAsia" w:hint="eastAsia"/>
          <w:b/>
          <w:color w:val="0000FF"/>
          <w:sz w:val="24"/>
        </w:rPr>
        <w:t>主题：当前中国金融发展面临的挑战与机遇</w:t>
      </w:r>
      <w:r w:rsidRPr="00BF169E">
        <w:rPr>
          <w:rFonts w:asciiTheme="minorEastAsia" w:eastAsiaTheme="minorEastAsia" w:hAnsiTheme="minorEastAsia"/>
          <w:b/>
          <w:color w:val="0000FF"/>
          <w:sz w:val="24"/>
        </w:rPr>
        <w:t xml:space="preserve"> </w:t>
      </w:r>
    </w:p>
    <w:p w:rsidR="00B26AC8" w:rsidRPr="00B26AC8" w:rsidRDefault="00B26AC8" w:rsidP="00B26AC8">
      <w:pPr>
        <w:rPr>
          <w:rFonts w:asciiTheme="minorEastAsia" w:eastAsiaTheme="minorEastAsia" w:hAnsiTheme="minorEastAsia"/>
          <w:szCs w:val="21"/>
        </w:rPr>
      </w:pPr>
      <w:r w:rsidRPr="00B26AC8">
        <w:rPr>
          <w:rFonts w:asciiTheme="minorEastAsia" w:eastAsiaTheme="minorEastAsia" w:hAnsiTheme="minorEastAsia" w:hint="eastAsia"/>
          <w:b/>
          <w:szCs w:val="21"/>
        </w:rPr>
        <w:t>陈志武：</w:t>
      </w:r>
      <w:r w:rsidRPr="00B26AC8">
        <w:rPr>
          <w:rFonts w:asciiTheme="minorEastAsia" w:eastAsiaTheme="minorEastAsia" w:hAnsiTheme="minorEastAsia" w:hint="eastAsia"/>
          <w:sz w:val="18"/>
          <w:szCs w:val="18"/>
        </w:rPr>
        <w:t>华人著名经济学家、现任美国耶鲁大学管理学院金融学终身教授、清华大学经济管理学院特聘教授。美国Value Engine 公司创办人，美国Zebra对冲基金公司三大股东之一及首席投资经理。主要研究方向：市场监管、资本市场、证券投资管理、公司治理、公司财务与组织战略、股票定价等问题。 陈志武教授是金融经济学、财务学理论、证券定价、新兴资本市场以及中国经济和资本市场方面的专家。最近几年，陈志武教授的研究主要集中在中国转型过程中的市场发展和制度机制建立的问题以及其它新兴资本市场问题。</w:t>
      </w:r>
    </w:p>
    <w:p w:rsidR="00B26AC8" w:rsidRPr="00B26AC8" w:rsidRDefault="00B26AC8" w:rsidP="00B26AC8">
      <w:pPr>
        <w:rPr>
          <w:rFonts w:asciiTheme="minorEastAsia" w:eastAsiaTheme="minorEastAsia" w:hAnsiTheme="minorEastAsia"/>
          <w:b/>
          <w:szCs w:val="21"/>
        </w:rPr>
      </w:pPr>
      <w:r w:rsidRPr="00B26AC8">
        <w:rPr>
          <w:rFonts w:asciiTheme="minorEastAsia" w:eastAsiaTheme="minorEastAsia" w:hAnsiTheme="minorEastAsia" w:hint="eastAsia"/>
          <w:b/>
          <w:szCs w:val="21"/>
        </w:rPr>
        <w:t>内容提要：</w:t>
      </w:r>
    </w:p>
    <w:p w:rsidR="00B26AC8" w:rsidRPr="00B26AC8" w:rsidRDefault="00B26AC8" w:rsidP="00B26AC8">
      <w:pPr>
        <w:ind w:firstLineChars="100" w:firstLine="180"/>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中国金融改革如何突围；</w:t>
      </w:r>
      <w:r w:rsidRPr="00B26AC8">
        <w:rPr>
          <w:rFonts w:asciiTheme="minorEastAsia" w:eastAsiaTheme="minorEastAsia" w:hAnsiTheme="minorEastAsia"/>
          <w:sz w:val="18"/>
          <w:szCs w:val="18"/>
        </w:rPr>
        <w:t xml:space="preserve"> </w:t>
      </w:r>
      <w:r w:rsidRPr="00B26AC8">
        <w:rPr>
          <w:rFonts w:asciiTheme="minorEastAsia" w:eastAsiaTheme="minorEastAsia" w:hAnsiTheme="minorEastAsia" w:hint="eastAsia"/>
          <w:sz w:val="18"/>
          <w:szCs w:val="18"/>
        </w:rPr>
        <w:t>资本市场现状与未来发展；</w:t>
      </w:r>
      <w:r w:rsidRPr="00B26AC8">
        <w:rPr>
          <w:rFonts w:asciiTheme="minorEastAsia" w:eastAsiaTheme="minorEastAsia" w:hAnsiTheme="minorEastAsia"/>
          <w:sz w:val="18"/>
          <w:szCs w:val="18"/>
        </w:rPr>
        <w:t xml:space="preserve"> </w:t>
      </w:r>
    </w:p>
    <w:p w:rsidR="00B26AC8" w:rsidRPr="00B26AC8" w:rsidRDefault="00B26AC8" w:rsidP="00B26AC8">
      <w:pPr>
        <w:rPr>
          <w:rFonts w:asciiTheme="minorEastAsia" w:eastAsiaTheme="minorEastAsia" w:hAnsiTheme="minorEastAsia"/>
          <w:sz w:val="18"/>
          <w:szCs w:val="18"/>
        </w:rPr>
      </w:pPr>
      <w:r w:rsidRPr="00B26AC8">
        <w:rPr>
          <w:rFonts w:ascii="宋体" w:hAnsi="宋体" w:cs="宋体" w:hint="eastAsia"/>
          <w:sz w:val="18"/>
          <w:szCs w:val="18"/>
        </w:rPr>
        <w:t></w:t>
      </w:r>
      <w:r w:rsidRPr="00B26AC8">
        <w:rPr>
          <w:rFonts w:asciiTheme="minorEastAsia" w:eastAsiaTheme="minorEastAsia" w:hAnsiTheme="minorEastAsia" w:hint="eastAsia"/>
          <w:sz w:val="18"/>
          <w:szCs w:val="18"/>
        </w:rPr>
        <w:t>互联网金融与新型金融业态；</w:t>
      </w:r>
      <w:r w:rsidRPr="00B26AC8">
        <w:rPr>
          <w:rFonts w:asciiTheme="minorEastAsia" w:eastAsiaTheme="minorEastAsia" w:hAnsiTheme="minorEastAsia"/>
          <w:sz w:val="18"/>
          <w:szCs w:val="18"/>
        </w:rPr>
        <w:t xml:space="preserve"> </w:t>
      </w:r>
      <w:r w:rsidRPr="00B26AC8">
        <w:rPr>
          <w:rFonts w:asciiTheme="minorEastAsia" w:eastAsiaTheme="minorEastAsia" w:hAnsiTheme="minorEastAsia" w:hint="eastAsia"/>
          <w:sz w:val="18"/>
          <w:szCs w:val="18"/>
        </w:rPr>
        <w:t>中国经济转型与金融业竞争格局；</w:t>
      </w:r>
      <w:r w:rsidRPr="00B26AC8">
        <w:rPr>
          <w:rFonts w:asciiTheme="minorEastAsia" w:eastAsiaTheme="minorEastAsia" w:hAnsiTheme="minorEastAsia"/>
          <w:sz w:val="18"/>
          <w:szCs w:val="18"/>
        </w:rPr>
        <w:t xml:space="preserve"> </w:t>
      </w:r>
    </w:p>
    <w:p w:rsidR="00B26AC8" w:rsidRPr="00B26AC8" w:rsidRDefault="00B26AC8" w:rsidP="00B26AC8">
      <w:pPr>
        <w:rPr>
          <w:rFonts w:asciiTheme="minorEastAsia" w:eastAsiaTheme="minorEastAsia" w:hAnsiTheme="minorEastAsia"/>
          <w:sz w:val="18"/>
          <w:szCs w:val="18"/>
        </w:rPr>
      </w:pPr>
      <w:r w:rsidRPr="00B26AC8">
        <w:rPr>
          <w:rFonts w:ascii="宋体" w:hAnsi="宋体" w:cs="宋体" w:hint="eastAsia"/>
          <w:sz w:val="18"/>
          <w:szCs w:val="18"/>
        </w:rPr>
        <w:t></w:t>
      </w:r>
      <w:r w:rsidRPr="00B26AC8">
        <w:rPr>
          <w:rFonts w:asciiTheme="minorEastAsia" w:eastAsiaTheme="minorEastAsia" w:hAnsiTheme="minorEastAsia" w:hint="eastAsia"/>
          <w:sz w:val="18"/>
          <w:szCs w:val="18"/>
        </w:rPr>
        <w:t>金融业风险与企业投融资策略；</w:t>
      </w:r>
      <w:r w:rsidRPr="00B26AC8">
        <w:rPr>
          <w:rFonts w:asciiTheme="minorEastAsia" w:eastAsiaTheme="minorEastAsia" w:hAnsiTheme="minorEastAsia"/>
          <w:sz w:val="18"/>
          <w:szCs w:val="18"/>
        </w:rPr>
        <w:t xml:space="preserve"> </w:t>
      </w:r>
      <w:r w:rsidRPr="00B26AC8">
        <w:rPr>
          <w:rFonts w:asciiTheme="minorEastAsia" w:eastAsiaTheme="minorEastAsia" w:hAnsiTheme="minorEastAsia" w:hint="eastAsia"/>
          <w:sz w:val="18"/>
          <w:szCs w:val="18"/>
        </w:rPr>
        <w:t>中国金融未来</w:t>
      </w:r>
      <w:r w:rsidRPr="00B26AC8">
        <w:rPr>
          <w:rFonts w:asciiTheme="minorEastAsia" w:eastAsiaTheme="minorEastAsia" w:hAnsiTheme="minorEastAsia"/>
          <w:sz w:val="18"/>
          <w:szCs w:val="18"/>
        </w:rPr>
        <w:t>5</w:t>
      </w:r>
      <w:r w:rsidRPr="00B26AC8">
        <w:rPr>
          <w:rFonts w:asciiTheme="minorEastAsia" w:eastAsiaTheme="minorEastAsia" w:hAnsiTheme="minorEastAsia" w:hint="eastAsia"/>
          <w:sz w:val="18"/>
          <w:szCs w:val="18"/>
        </w:rPr>
        <w:t>到</w:t>
      </w:r>
      <w:r w:rsidRPr="00B26AC8">
        <w:rPr>
          <w:rFonts w:asciiTheme="minorEastAsia" w:eastAsiaTheme="minorEastAsia" w:hAnsiTheme="minorEastAsia"/>
          <w:sz w:val="18"/>
          <w:szCs w:val="18"/>
        </w:rPr>
        <w:t>10</w:t>
      </w:r>
      <w:r w:rsidRPr="00B26AC8">
        <w:rPr>
          <w:rFonts w:asciiTheme="minorEastAsia" w:eastAsiaTheme="minorEastAsia" w:hAnsiTheme="minorEastAsia" w:hint="eastAsia"/>
          <w:sz w:val="18"/>
          <w:szCs w:val="18"/>
        </w:rPr>
        <w:t>年的发展态势；</w:t>
      </w:r>
    </w:p>
    <w:p w:rsidR="00B26AC8" w:rsidRPr="00B26AC8" w:rsidRDefault="00B26AC8" w:rsidP="00B26AC8">
      <w:pPr>
        <w:rPr>
          <w:rFonts w:asciiTheme="minorEastAsia" w:eastAsiaTheme="minorEastAsia" w:hAnsiTheme="minorEastAsia"/>
          <w:szCs w:val="21"/>
        </w:rPr>
      </w:pPr>
    </w:p>
    <w:p w:rsidR="00B26AC8" w:rsidRPr="00BF169E" w:rsidRDefault="00B26AC8" w:rsidP="00B26AC8">
      <w:pPr>
        <w:rPr>
          <w:rFonts w:asciiTheme="minorEastAsia" w:eastAsiaTheme="minorEastAsia" w:hAnsiTheme="minorEastAsia"/>
          <w:b/>
          <w:color w:val="0000FF"/>
          <w:sz w:val="24"/>
        </w:rPr>
      </w:pPr>
      <w:r w:rsidRPr="00BF169E">
        <w:rPr>
          <w:rFonts w:ascii="宋体" w:hAnsi="宋体" w:cs="宋体" w:hint="eastAsia"/>
          <w:b/>
          <w:color w:val="0000FF"/>
          <w:sz w:val="24"/>
        </w:rPr>
        <w:t>6</w:t>
      </w:r>
      <w:r w:rsidRPr="00BF169E">
        <w:rPr>
          <w:rFonts w:asciiTheme="minorEastAsia" w:eastAsiaTheme="minorEastAsia" w:hAnsiTheme="minorEastAsia" w:hint="eastAsia"/>
          <w:b/>
          <w:color w:val="0000FF"/>
          <w:sz w:val="24"/>
        </w:rPr>
        <w:t>月</w:t>
      </w:r>
      <w:r w:rsidRPr="00BF169E">
        <w:rPr>
          <w:rFonts w:asciiTheme="minorEastAsia" w:eastAsiaTheme="minorEastAsia" w:hAnsiTheme="minorEastAsia"/>
          <w:b/>
          <w:color w:val="0000FF"/>
          <w:sz w:val="24"/>
        </w:rPr>
        <w:t>18</w:t>
      </w:r>
      <w:r w:rsidRPr="00BF169E">
        <w:rPr>
          <w:rFonts w:asciiTheme="minorEastAsia" w:eastAsiaTheme="minorEastAsia" w:hAnsiTheme="minorEastAsia" w:hint="eastAsia"/>
          <w:b/>
          <w:color w:val="0000FF"/>
          <w:sz w:val="24"/>
        </w:rPr>
        <w:t>日上午</w:t>
      </w:r>
      <w:r w:rsidRPr="00BF169E">
        <w:rPr>
          <w:rFonts w:asciiTheme="minorEastAsia" w:eastAsiaTheme="minorEastAsia" w:hAnsiTheme="minorEastAsia"/>
          <w:b/>
          <w:color w:val="0000FF"/>
          <w:sz w:val="24"/>
        </w:rPr>
        <w:t xml:space="preserve">  </w:t>
      </w:r>
      <w:r w:rsidRPr="00BF169E">
        <w:rPr>
          <w:rFonts w:asciiTheme="minorEastAsia" w:eastAsiaTheme="minorEastAsia" w:hAnsiTheme="minorEastAsia" w:hint="eastAsia"/>
          <w:b/>
          <w:color w:val="0000FF"/>
          <w:sz w:val="24"/>
        </w:rPr>
        <w:t>嘉宾：向松祚</w:t>
      </w:r>
      <w:r w:rsidRPr="00BF169E">
        <w:rPr>
          <w:rFonts w:asciiTheme="minorEastAsia" w:eastAsiaTheme="minorEastAsia" w:hAnsiTheme="minorEastAsia"/>
          <w:b/>
          <w:color w:val="0000FF"/>
          <w:sz w:val="24"/>
        </w:rPr>
        <w:t xml:space="preserve">   </w:t>
      </w:r>
      <w:r w:rsidRPr="00BF169E">
        <w:rPr>
          <w:rFonts w:asciiTheme="minorEastAsia" w:eastAsiaTheme="minorEastAsia" w:hAnsiTheme="minorEastAsia" w:hint="eastAsia"/>
          <w:b/>
          <w:color w:val="0000FF"/>
          <w:sz w:val="24"/>
        </w:rPr>
        <w:t>主题：转型变革下的中国经济形势与企业应对</w:t>
      </w:r>
      <w:r w:rsidRPr="00BF169E">
        <w:rPr>
          <w:rFonts w:asciiTheme="minorEastAsia" w:eastAsiaTheme="minorEastAsia" w:hAnsiTheme="minorEastAsia"/>
          <w:b/>
          <w:color w:val="0000FF"/>
          <w:sz w:val="24"/>
        </w:rPr>
        <w:t xml:space="preserve"> </w:t>
      </w:r>
    </w:p>
    <w:p w:rsidR="00B26AC8" w:rsidRPr="00B26AC8" w:rsidRDefault="00B26AC8" w:rsidP="00B26AC8">
      <w:pPr>
        <w:rPr>
          <w:rFonts w:asciiTheme="minorEastAsia" w:eastAsiaTheme="minorEastAsia" w:hAnsiTheme="minorEastAsia"/>
          <w:sz w:val="18"/>
          <w:szCs w:val="18"/>
        </w:rPr>
      </w:pPr>
      <w:r w:rsidRPr="00B26AC8">
        <w:rPr>
          <w:rFonts w:asciiTheme="minorEastAsia" w:eastAsiaTheme="minorEastAsia" w:hAnsiTheme="minorEastAsia" w:hint="eastAsia"/>
          <w:b/>
          <w:szCs w:val="21"/>
        </w:rPr>
        <w:t>向松祚：</w:t>
      </w:r>
      <w:r w:rsidRPr="00B26AC8">
        <w:rPr>
          <w:rFonts w:asciiTheme="minorEastAsia" w:eastAsiaTheme="minorEastAsia" w:hAnsiTheme="minorEastAsia" w:hint="eastAsia"/>
          <w:sz w:val="18"/>
          <w:szCs w:val="18"/>
        </w:rPr>
        <w:t>著名经济专家，现任中国农业银行首席经济学家，深圳前海国际资本管理学院院长，《环球财经》杂志总编。师从“欧元之父”、1999年诺贝尔经济学奖得主蒙代尔。哥伦比亚大学国际关系学院杰出校友，纳斯达克上市公司华友世纪公司创始人之一。曾任职中国人民银行深圳分行和多家企业。主要著作包括《伯南克的货币理论和政策哲学》、《汇率危局——全球流动性过剩的根源和后果》、《金融危机和国家利益》等。授课注重数据，逻辑清晰，兼备大战略眼光。</w:t>
      </w:r>
    </w:p>
    <w:p w:rsidR="00B26AC8" w:rsidRPr="00B26AC8" w:rsidRDefault="00B26AC8" w:rsidP="00B26AC8">
      <w:pPr>
        <w:rPr>
          <w:rFonts w:asciiTheme="minorEastAsia" w:eastAsiaTheme="minorEastAsia" w:hAnsiTheme="minorEastAsia"/>
          <w:szCs w:val="21"/>
        </w:rPr>
      </w:pPr>
      <w:r w:rsidRPr="00B26AC8">
        <w:rPr>
          <w:rFonts w:asciiTheme="minorEastAsia" w:eastAsiaTheme="minorEastAsia" w:hAnsiTheme="minorEastAsia" w:hint="eastAsia"/>
          <w:b/>
          <w:szCs w:val="21"/>
        </w:rPr>
        <w:t>内容提要：</w:t>
      </w:r>
    </w:p>
    <w:p w:rsidR="00B26AC8" w:rsidRPr="00B26AC8" w:rsidRDefault="00B26AC8" w:rsidP="00B26AC8">
      <w:pPr>
        <w:ind w:firstLineChars="100" w:firstLine="180"/>
        <w:jc w:val="left"/>
        <w:rPr>
          <w:rFonts w:asciiTheme="minorEastAsia" w:eastAsiaTheme="minorEastAsia" w:hAnsiTheme="minorEastAsia"/>
          <w:sz w:val="18"/>
          <w:szCs w:val="18"/>
        </w:rPr>
      </w:pPr>
      <w:r w:rsidRPr="00B26AC8">
        <w:rPr>
          <w:rFonts w:asciiTheme="minorEastAsia" w:eastAsiaTheme="minorEastAsia" w:hAnsiTheme="minorEastAsia" w:hint="eastAsia"/>
          <w:sz w:val="18"/>
          <w:szCs w:val="18"/>
        </w:rPr>
        <w:t>中国经济转型面临的挑战与未来经济走势；</w:t>
      </w:r>
      <w:r w:rsidRPr="00B26AC8">
        <w:rPr>
          <w:rFonts w:asciiTheme="minorEastAsia" w:eastAsiaTheme="minorEastAsia" w:hAnsiTheme="minorEastAsia"/>
          <w:sz w:val="18"/>
          <w:szCs w:val="18"/>
        </w:rPr>
        <w:t xml:space="preserve"> </w:t>
      </w:r>
    </w:p>
    <w:p w:rsidR="00B26AC8" w:rsidRPr="00B26AC8" w:rsidRDefault="00B26AC8" w:rsidP="00B26AC8">
      <w:pPr>
        <w:jc w:val="left"/>
        <w:rPr>
          <w:rFonts w:asciiTheme="minorEastAsia" w:eastAsiaTheme="minorEastAsia" w:hAnsiTheme="minorEastAsia"/>
          <w:sz w:val="18"/>
          <w:szCs w:val="18"/>
        </w:rPr>
      </w:pPr>
      <w:r w:rsidRPr="00B26AC8">
        <w:rPr>
          <w:rFonts w:ascii="宋体" w:hAnsi="宋体" w:cs="宋体" w:hint="eastAsia"/>
          <w:sz w:val="18"/>
          <w:szCs w:val="18"/>
        </w:rPr>
        <w:t></w:t>
      </w:r>
      <w:r w:rsidRPr="00B26AC8">
        <w:rPr>
          <w:rFonts w:asciiTheme="minorEastAsia" w:eastAsiaTheme="minorEastAsia" w:hAnsiTheme="minorEastAsia" w:hint="eastAsia"/>
          <w:sz w:val="18"/>
          <w:szCs w:val="18"/>
        </w:rPr>
        <w:t>当前中国经济面临的四大困难；</w:t>
      </w:r>
      <w:r w:rsidRPr="00B26AC8">
        <w:rPr>
          <w:rFonts w:asciiTheme="minorEastAsia" w:eastAsiaTheme="minorEastAsia" w:hAnsiTheme="minorEastAsia"/>
          <w:sz w:val="18"/>
          <w:szCs w:val="18"/>
        </w:rPr>
        <w:t xml:space="preserve"> </w:t>
      </w:r>
    </w:p>
    <w:p w:rsidR="00B26AC8" w:rsidRPr="00B26AC8" w:rsidRDefault="00B26AC8" w:rsidP="00B26AC8">
      <w:pPr>
        <w:jc w:val="left"/>
        <w:rPr>
          <w:rFonts w:asciiTheme="minorEastAsia" w:eastAsiaTheme="minorEastAsia" w:hAnsiTheme="minorEastAsia"/>
          <w:sz w:val="18"/>
          <w:szCs w:val="18"/>
        </w:rPr>
      </w:pPr>
      <w:r w:rsidRPr="00B26AC8">
        <w:rPr>
          <w:rFonts w:ascii="宋体" w:hAnsi="宋体" w:cs="宋体" w:hint="eastAsia"/>
          <w:sz w:val="18"/>
          <w:szCs w:val="18"/>
        </w:rPr>
        <w:t></w:t>
      </w:r>
      <w:r w:rsidRPr="00B26AC8">
        <w:rPr>
          <w:rFonts w:asciiTheme="minorEastAsia" w:eastAsiaTheme="minorEastAsia" w:hAnsiTheme="minorEastAsia" w:hint="eastAsia"/>
          <w:sz w:val="18"/>
          <w:szCs w:val="18"/>
        </w:rPr>
        <w:t>供给侧结构性改革如何突破；</w:t>
      </w:r>
      <w:r w:rsidRPr="00B26AC8">
        <w:rPr>
          <w:rFonts w:asciiTheme="minorEastAsia" w:eastAsiaTheme="minorEastAsia" w:hAnsiTheme="minorEastAsia"/>
          <w:sz w:val="18"/>
          <w:szCs w:val="18"/>
        </w:rPr>
        <w:t xml:space="preserve"> </w:t>
      </w:r>
      <w:r w:rsidRPr="00B26AC8">
        <w:rPr>
          <w:rFonts w:asciiTheme="minorEastAsia" w:eastAsiaTheme="minorEastAsia" w:hAnsiTheme="minorEastAsia" w:hint="eastAsia"/>
          <w:sz w:val="18"/>
          <w:szCs w:val="18"/>
        </w:rPr>
        <w:t>中国经济转型的关键是什么；</w:t>
      </w:r>
      <w:r w:rsidRPr="00B26AC8">
        <w:rPr>
          <w:rFonts w:asciiTheme="minorEastAsia" w:eastAsiaTheme="minorEastAsia" w:hAnsiTheme="minorEastAsia"/>
          <w:sz w:val="18"/>
          <w:szCs w:val="18"/>
        </w:rPr>
        <w:t xml:space="preserve"> </w:t>
      </w:r>
    </w:p>
    <w:p w:rsidR="00B26AC8" w:rsidRDefault="00B26AC8" w:rsidP="00B26AC8">
      <w:pPr>
        <w:jc w:val="left"/>
        <w:rPr>
          <w:rFonts w:asciiTheme="minorEastAsia" w:eastAsiaTheme="minorEastAsia" w:hAnsiTheme="minorEastAsia"/>
          <w:sz w:val="18"/>
          <w:szCs w:val="18"/>
        </w:rPr>
      </w:pPr>
      <w:r w:rsidRPr="00B26AC8">
        <w:rPr>
          <w:rFonts w:ascii="宋体" w:hAnsi="宋体" w:cs="宋体" w:hint="eastAsia"/>
          <w:sz w:val="18"/>
          <w:szCs w:val="18"/>
        </w:rPr>
        <w:t></w:t>
      </w:r>
      <w:r w:rsidRPr="00B26AC8">
        <w:rPr>
          <w:rFonts w:asciiTheme="minorEastAsia" w:eastAsiaTheme="minorEastAsia" w:hAnsiTheme="minorEastAsia" w:hint="eastAsia"/>
          <w:sz w:val="18"/>
          <w:szCs w:val="18"/>
        </w:rPr>
        <w:t>中国企业如何应对、如何转型升级；</w:t>
      </w:r>
      <w:r w:rsidRPr="00B26AC8">
        <w:rPr>
          <w:rFonts w:asciiTheme="minorEastAsia" w:eastAsiaTheme="minorEastAsia" w:hAnsiTheme="minorEastAsia"/>
          <w:sz w:val="18"/>
          <w:szCs w:val="18"/>
        </w:rPr>
        <w:t xml:space="preserve"> </w:t>
      </w:r>
      <w:r w:rsidRPr="00B26AC8">
        <w:rPr>
          <w:rFonts w:asciiTheme="minorEastAsia" w:eastAsiaTheme="minorEastAsia" w:hAnsiTheme="minorEastAsia" w:hint="eastAsia"/>
          <w:sz w:val="18"/>
          <w:szCs w:val="18"/>
        </w:rPr>
        <w:t>未来最具发展潜力的十二大产业；</w:t>
      </w:r>
    </w:p>
    <w:p w:rsidR="00BF169E" w:rsidRDefault="00BF169E" w:rsidP="00B26AC8">
      <w:pPr>
        <w:jc w:val="left"/>
        <w:rPr>
          <w:rFonts w:asciiTheme="minorEastAsia" w:eastAsiaTheme="minorEastAsia" w:hAnsiTheme="minorEastAsia"/>
          <w:sz w:val="18"/>
          <w:szCs w:val="18"/>
        </w:rPr>
      </w:pPr>
    </w:p>
    <w:p w:rsidR="00BF169E" w:rsidRPr="00BF169E" w:rsidRDefault="00BF169E" w:rsidP="00BF169E">
      <w:pPr>
        <w:jc w:val="left"/>
        <w:rPr>
          <w:rFonts w:asciiTheme="minorEastAsia" w:eastAsiaTheme="minorEastAsia" w:hAnsiTheme="minorEastAsia"/>
          <w:b/>
          <w:color w:val="0000FF"/>
          <w:sz w:val="24"/>
        </w:rPr>
      </w:pPr>
      <w:r w:rsidRPr="00BF169E">
        <w:rPr>
          <w:rFonts w:asciiTheme="minorEastAsia" w:eastAsiaTheme="minorEastAsia" w:hAnsiTheme="minorEastAsia" w:hint="eastAsia"/>
          <w:b/>
          <w:color w:val="0000FF"/>
          <w:sz w:val="24"/>
        </w:rPr>
        <w:t>6月18日下午   嘉宾：马骏    主题：中国宏观经济、结构转型和金融改革</w:t>
      </w:r>
    </w:p>
    <w:p w:rsidR="00BF169E" w:rsidRDefault="00BF169E" w:rsidP="00BF169E">
      <w:pPr>
        <w:jc w:val="left"/>
        <w:rPr>
          <w:rFonts w:asciiTheme="minorEastAsia" w:eastAsiaTheme="minorEastAsia" w:hAnsiTheme="minorEastAsia"/>
          <w:sz w:val="18"/>
          <w:szCs w:val="18"/>
        </w:rPr>
      </w:pPr>
      <w:r w:rsidRPr="00BF169E">
        <w:rPr>
          <w:rFonts w:asciiTheme="minorEastAsia" w:eastAsiaTheme="minorEastAsia" w:hAnsiTheme="minorEastAsia" w:hint="eastAsia"/>
          <w:sz w:val="18"/>
          <w:szCs w:val="18"/>
        </w:rPr>
        <w:t>马骏：著名经济专家，现任中国人民银行研究局首席经济学家。曾任德意志银行大中华区首席经济学家，世界银行和国际货币基金组织高级经济学家，国务院发展研究中心研究员。多次被评为“亚洲金融和机构投资者”、国际投行中亚洲最佳经济学家和最佳中国经济分析员之一。</w:t>
      </w:r>
    </w:p>
    <w:p w:rsidR="00BF169E" w:rsidRPr="00BF169E" w:rsidRDefault="00BF169E" w:rsidP="00BF169E">
      <w:pPr>
        <w:jc w:val="left"/>
        <w:rPr>
          <w:rFonts w:asciiTheme="minorEastAsia" w:eastAsiaTheme="minorEastAsia" w:hAnsiTheme="minorEastAsia"/>
          <w:b/>
          <w:sz w:val="24"/>
        </w:rPr>
      </w:pPr>
      <w:r w:rsidRPr="00BF169E">
        <w:rPr>
          <w:rFonts w:asciiTheme="minorEastAsia" w:eastAsiaTheme="minorEastAsia" w:hAnsiTheme="minorEastAsia" w:hint="eastAsia"/>
          <w:b/>
          <w:sz w:val="24"/>
        </w:rPr>
        <w:t>内容提要：</w:t>
      </w:r>
    </w:p>
    <w:p w:rsidR="00BF169E" w:rsidRPr="00BF169E" w:rsidRDefault="00BF169E" w:rsidP="00BF169E">
      <w:pPr>
        <w:jc w:val="left"/>
        <w:rPr>
          <w:rFonts w:asciiTheme="minorEastAsia" w:eastAsiaTheme="minorEastAsia" w:hAnsiTheme="minorEastAsia"/>
          <w:sz w:val="18"/>
          <w:szCs w:val="18"/>
        </w:rPr>
      </w:pPr>
      <w:r w:rsidRPr="00BF169E">
        <w:rPr>
          <w:rFonts w:asciiTheme="minorEastAsia" w:eastAsiaTheme="minorEastAsia" w:hAnsiTheme="minorEastAsia" w:hint="eastAsia"/>
          <w:sz w:val="18"/>
          <w:szCs w:val="18"/>
        </w:rPr>
        <w:t>1、当前中国宏观经济形势分析；    2、中国经济转型的风险与走势；</w:t>
      </w:r>
    </w:p>
    <w:p w:rsidR="00BF169E" w:rsidRPr="00BF169E" w:rsidRDefault="00BF169E" w:rsidP="00BF169E">
      <w:pPr>
        <w:jc w:val="left"/>
        <w:rPr>
          <w:rFonts w:asciiTheme="minorEastAsia" w:eastAsiaTheme="minorEastAsia" w:hAnsiTheme="minorEastAsia"/>
          <w:sz w:val="18"/>
          <w:szCs w:val="18"/>
        </w:rPr>
      </w:pPr>
      <w:r w:rsidRPr="00BF169E">
        <w:rPr>
          <w:rFonts w:asciiTheme="minorEastAsia" w:eastAsiaTheme="minorEastAsia" w:hAnsiTheme="minorEastAsia" w:hint="eastAsia"/>
          <w:sz w:val="18"/>
          <w:szCs w:val="18"/>
        </w:rPr>
        <w:t>3、中国经济调控与货币政策分析；  4、转型时期的绿色投资与绿色金融；</w:t>
      </w:r>
    </w:p>
    <w:p w:rsidR="007B168E" w:rsidRPr="006F60AD" w:rsidRDefault="00BF169E" w:rsidP="006F60AD">
      <w:pPr>
        <w:jc w:val="left"/>
        <w:rPr>
          <w:rFonts w:asciiTheme="minorEastAsia" w:eastAsiaTheme="minorEastAsia" w:hAnsiTheme="minorEastAsia"/>
          <w:sz w:val="18"/>
          <w:szCs w:val="18"/>
        </w:rPr>
      </w:pPr>
      <w:r w:rsidRPr="00BF169E">
        <w:rPr>
          <w:rFonts w:asciiTheme="minorEastAsia" w:eastAsiaTheme="minorEastAsia" w:hAnsiTheme="minorEastAsia" w:hint="eastAsia"/>
          <w:sz w:val="18"/>
          <w:szCs w:val="18"/>
        </w:rPr>
        <w:t>5、中国金融改革的现状与挑战；    6、未来中国金融改革的节奏与趋势；</w:t>
      </w:r>
    </w:p>
    <w:sectPr w:rsidR="007B168E" w:rsidRPr="006F60AD" w:rsidSect="00E227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73" w:rsidRDefault="009E1C73" w:rsidP="0097151E">
      <w:r>
        <w:separator/>
      </w:r>
    </w:p>
  </w:endnote>
  <w:endnote w:type="continuationSeparator" w:id="1">
    <w:p w:rsidR="009E1C73" w:rsidRDefault="009E1C73" w:rsidP="009715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73" w:rsidRDefault="009E1C73" w:rsidP="0097151E">
      <w:r>
        <w:separator/>
      </w:r>
    </w:p>
  </w:footnote>
  <w:footnote w:type="continuationSeparator" w:id="1">
    <w:p w:rsidR="009E1C73" w:rsidRDefault="009E1C73" w:rsidP="00971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073A5"/>
    <w:multiLevelType w:val="singleLevel"/>
    <w:tmpl w:val="571073A5"/>
    <w:lvl w:ilvl="0">
      <w:start w:val="1"/>
      <w:numFmt w:val="bullet"/>
      <w:lvlText w:val=""/>
      <w:lvlJc w:val="left"/>
      <w:pPr>
        <w:tabs>
          <w:tab w:val="num" w:pos="420"/>
        </w:tabs>
        <w:ind w:left="420" w:hanging="420"/>
      </w:pPr>
      <w:rPr>
        <w:rFonts w:ascii="Wingdings" w:hAnsi="Wingdings" w:hint="default"/>
      </w:rPr>
    </w:lvl>
  </w:abstractNum>
  <w:abstractNum w:abstractNumId="1">
    <w:nsid w:val="5730367F"/>
    <w:multiLevelType w:val="singleLevel"/>
    <w:tmpl w:val="5730367F"/>
    <w:lvl w:ilvl="0">
      <w:start w:val="1"/>
      <w:numFmt w:val="bullet"/>
      <w:lvlText w:val=""/>
      <w:lvlJc w:val="left"/>
      <w:pPr>
        <w:tabs>
          <w:tab w:val="num" w:pos="420"/>
        </w:tabs>
        <w:ind w:left="420" w:hanging="420"/>
      </w:pPr>
      <w:rPr>
        <w:rFonts w:ascii="Wingdings" w:hAnsi="Wingdings" w:hint="default"/>
      </w:rPr>
    </w:lvl>
  </w:abstractNum>
  <w:abstractNum w:abstractNumId="2">
    <w:nsid w:val="57304371"/>
    <w:multiLevelType w:val="singleLevel"/>
    <w:tmpl w:val="57304371"/>
    <w:lvl w:ilvl="0">
      <w:start w:val="1"/>
      <w:numFmt w:val="bullet"/>
      <w:lvlText w:val=""/>
      <w:lvlJc w:val="left"/>
      <w:pPr>
        <w:tabs>
          <w:tab w:val="num" w:pos="420"/>
        </w:tabs>
        <w:ind w:left="420" w:hanging="420"/>
      </w:pPr>
      <w:rPr>
        <w:rFonts w:ascii="Wingdings" w:hAnsi="Wingdings" w:hint="default"/>
      </w:rPr>
    </w:lvl>
  </w:abstractNum>
  <w:abstractNum w:abstractNumId="3">
    <w:nsid w:val="57304381"/>
    <w:multiLevelType w:val="singleLevel"/>
    <w:tmpl w:val="57304381"/>
    <w:lvl w:ilvl="0">
      <w:start w:val="1"/>
      <w:numFmt w:val="bullet"/>
      <w:lvlText w:val=""/>
      <w:lvlJc w:val="left"/>
      <w:pPr>
        <w:tabs>
          <w:tab w:val="num" w:pos="420"/>
        </w:tabs>
        <w:ind w:left="420" w:hanging="420"/>
      </w:pPr>
      <w:rPr>
        <w:rFonts w:ascii="Wingdings" w:hAnsi="Wingdings" w:hint="default"/>
      </w:rPr>
    </w:lvl>
  </w:abstractNum>
  <w:abstractNum w:abstractNumId="4">
    <w:nsid w:val="57304393"/>
    <w:multiLevelType w:val="singleLevel"/>
    <w:tmpl w:val="57304393"/>
    <w:lvl w:ilvl="0">
      <w:start w:val="1"/>
      <w:numFmt w:val="bullet"/>
      <w:lvlText w:val=""/>
      <w:lvlJc w:val="left"/>
      <w:pPr>
        <w:tabs>
          <w:tab w:val="num" w:pos="420"/>
        </w:tabs>
        <w:ind w:left="420" w:hanging="420"/>
      </w:pPr>
      <w:rPr>
        <w:rFonts w:ascii="Wingdings" w:hAnsi="Wingdings" w:hint="default"/>
      </w:rPr>
    </w:lvl>
  </w:abstractNum>
  <w:abstractNum w:abstractNumId="5">
    <w:nsid w:val="573043C0"/>
    <w:multiLevelType w:val="singleLevel"/>
    <w:tmpl w:val="573043C0"/>
    <w:lvl w:ilvl="0">
      <w:start w:val="1"/>
      <w:numFmt w:val="bullet"/>
      <w:lvlText w:val=""/>
      <w:lvlJc w:val="left"/>
      <w:pPr>
        <w:tabs>
          <w:tab w:val="num" w:pos="420"/>
        </w:tabs>
        <w:ind w:left="420" w:hanging="420"/>
      </w:pPr>
      <w:rPr>
        <w:rFonts w:ascii="Wingdings" w:hAnsi="Wingdings" w:hint="default"/>
      </w:rPr>
    </w:lvl>
  </w:abstractNum>
  <w:abstractNum w:abstractNumId="6">
    <w:nsid w:val="57304628"/>
    <w:multiLevelType w:val="singleLevel"/>
    <w:tmpl w:val="57304628"/>
    <w:lvl w:ilvl="0">
      <w:start w:val="1"/>
      <w:numFmt w:val="decimal"/>
      <w:suff w:val="nothing"/>
      <w:lvlText w:val="%1、"/>
      <w:lvlJc w:val="left"/>
    </w:lvl>
  </w:abstractNum>
  <w:abstractNum w:abstractNumId="7">
    <w:nsid w:val="5730463A"/>
    <w:multiLevelType w:val="singleLevel"/>
    <w:tmpl w:val="5730463A"/>
    <w:lvl w:ilvl="0">
      <w:start w:val="1"/>
      <w:numFmt w:val="decimal"/>
      <w:suff w:val="nothing"/>
      <w:lvlText w:val="%1、"/>
      <w:lvlJc w:val="left"/>
    </w:lvl>
  </w:abstractNum>
  <w:abstractNum w:abstractNumId="8">
    <w:nsid w:val="5731C78E"/>
    <w:multiLevelType w:val="singleLevel"/>
    <w:tmpl w:val="5731C78E"/>
    <w:lvl w:ilvl="0">
      <w:start w:val="1"/>
      <w:numFmt w:val="bullet"/>
      <w:lvlText w:val=""/>
      <w:lvlJc w:val="left"/>
      <w:pPr>
        <w:tabs>
          <w:tab w:val="num" w:pos="420"/>
        </w:tabs>
        <w:ind w:left="420" w:hanging="420"/>
      </w:pPr>
      <w:rPr>
        <w:rFonts w:ascii="Wingdings" w:hAnsi="Wingdings" w:hint="default"/>
      </w:rPr>
    </w:lvl>
  </w:abstractNum>
  <w:abstractNum w:abstractNumId="9">
    <w:nsid w:val="5731C7A5"/>
    <w:multiLevelType w:val="singleLevel"/>
    <w:tmpl w:val="5731C7A5"/>
    <w:lvl w:ilvl="0">
      <w:start w:val="1"/>
      <w:numFmt w:val="bullet"/>
      <w:lvlText w:val=""/>
      <w:lvlJc w:val="left"/>
      <w:pPr>
        <w:tabs>
          <w:tab w:val="num" w:pos="420"/>
        </w:tabs>
        <w:ind w:left="420" w:hanging="420"/>
      </w:pPr>
      <w:rPr>
        <w:rFonts w:ascii="Wingdings" w:hAnsi="Wingdings" w:hint="default"/>
      </w:rPr>
    </w:lvl>
  </w:abstractNum>
  <w:abstractNum w:abstractNumId="10">
    <w:nsid w:val="5731C7B8"/>
    <w:multiLevelType w:val="singleLevel"/>
    <w:tmpl w:val="5731C7B8"/>
    <w:lvl w:ilvl="0">
      <w:start w:val="1"/>
      <w:numFmt w:val="bullet"/>
      <w:lvlText w:val=""/>
      <w:lvlJc w:val="left"/>
      <w:pPr>
        <w:tabs>
          <w:tab w:val="num" w:pos="420"/>
        </w:tabs>
        <w:ind w:left="420" w:hanging="420"/>
      </w:pPr>
      <w:rPr>
        <w:rFonts w:ascii="Wingdings" w:hAnsi="Wingdings" w:hint="default"/>
      </w:rPr>
    </w:lvl>
  </w:abstractNum>
  <w:abstractNum w:abstractNumId="11">
    <w:nsid w:val="5731C7CC"/>
    <w:multiLevelType w:val="singleLevel"/>
    <w:tmpl w:val="5731C7CC"/>
    <w:lvl w:ilvl="0">
      <w:start w:val="1"/>
      <w:numFmt w:val="bullet"/>
      <w:lvlText w:val=""/>
      <w:lvlJc w:val="left"/>
      <w:pPr>
        <w:tabs>
          <w:tab w:val="num" w:pos="420"/>
        </w:tabs>
        <w:ind w:left="420" w:hanging="42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7"/>
  </w:num>
  <w:num w:numId="7">
    <w:abstractNumId w:val="9"/>
  </w:num>
  <w:num w:numId="8">
    <w:abstractNumId w:val="3"/>
  </w:num>
  <w:num w:numId="9">
    <w:abstractNumId w:val="10"/>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51E"/>
    <w:rsid w:val="001E5F5A"/>
    <w:rsid w:val="00625FF4"/>
    <w:rsid w:val="006F60AD"/>
    <w:rsid w:val="007B168E"/>
    <w:rsid w:val="0097151E"/>
    <w:rsid w:val="009E1C73"/>
    <w:rsid w:val="00B26AC8"/>
    <w:rsid w:val="00BF169E"/>
    <w:rsid w:val="00C1705A"/>
    <w:rsid w:val="00E22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1E"/>
    <w:pPr>
      <w:widowControl w:val="0"/>
      <w:jc w:val="both"/>
    </w:pPr>
    <w:rPr>
      <w:rFonts w:ascii="Times New Roman" w:eastAsia="宋体" w:hAnsi="Times New Roman" w:cs="Times New Roman"/>
      <w:szCs w:val="24"/>
    </w:rPr>
  </w:style>
  <w:style w:type="paragraph" w:styleId="3">
    <w:name w:val="heading 3"/>
    <w:basedOn w:val="a"/>
    <w:next w:val="a"/>
    <w:link w:val="3Char"/>
    <w:qFormat/>
    <w:rsid w:val="009715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151E"/>
    <w:rPr>
      <w:sz w:val="18"/>
      <w:szCs w:val="18"/>
    </w:rPr>
  </w:style>
  <w:style w:type="paragraph" w:styleId="a4">
    <w:name w:val="footer"/>
    <w:basedOn w:val="a"/>
    <w:link w:val="Char0"/>
    <w:uiPriority w:val="99"/>
    <w:semiHidden/>
    <w:unhideWhenUsed/>
    <w:rsid w:val="009715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151E"/>
    <w:rPr>
      <w:sz w:val="18"/>
      <w:szCs w:val="18"/>
    </w:rPr>
  </w:style>
  <w:style w:type="character" w:customStyle="1" w:styleId="3Char">
    <w:name w:val="标题 3 Char"/>
    <w:basedOn w:val="a0"/>
    <w:link w:val="3"/>
    <w:rsid w:val="0097151E"/>
    <w:rPr>
      <w:rFonts w:ascii="Times New Roman" w:eastAsia="宋体" w:hAnsi="Times New Roman" w:cs="Times New Roman"/>
      <w:b/>
      <w:bCs/>
      <w:sz w:val="32"/>
      <w:szCs w:val="32"/>
    </w:rPr>
  </w:style>
  <w:style w:type="character" w:styleId="a5">
    <w:name w:val="Hyperlink"/>
    <w:basedOn w:val="a0"/>
    <w:uiPriority w:val="99"/>
    <w:unhideWhenUsed/>
    <w:rsid w:val="009715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2058880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2016-05-23T07:03:00Z</dcterms:created>
  <dcterms:modified xsi:type="dcterms:W3CDTF">2016-05-23T07:33:00Z</dcterms:modified>
</cp:coreProperties>
</file>